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0D10E" w14:textId="43877B2C" w:rsidR="000F0409" w:rsidRDefault="00383CA0" w:rsidP="007D0ED7">
      <w:pPr>
        <w:jc w:val="both"/>
        <w:rPr>
          <w:rFonts w:ascii="Calibri" w:eastAsia="Times New Roman" w:hAnsi="Calibri" w:cs="Times New Roman"/>
          <w:b/>
          <w:u w:val="single"/>
          <w:lang w:eastAsia="en-AU"/>
        </w:rPr>
      </w:pPr>
      <w:r w:rsidRPr="00754DD1">
        <w:rPr>
          <w:b/>
          <w:bCs/>
          <w:noProof/>
          <w:sz w:val="40"/>
          <w:szCs w:val="40"/>
          <w:u w:val="single"/>
        </w:rPr>
        <w:drawing>
          <wp:anchor distT="0" distB="0" distL="114300" distR="114300" simplePos="0" relativeHeight="251659264" behindDoc="0" locked="0" layoutInCell="1" allowOverlap="1" wp14:anchorId="0808F61A" wp14:editId="35557367">
            <wp:simplePos x="0" y="0"/>
            <wp:positionH relativeFrom="column">
              <wp:posOffset>3948460</wp:posOffset>
            </wp:positionH>
            <wp:positionV relativeFrom="paragraph">
              <wp:posOffset>-382241</wp:posOffset>
            </wp:positionV>
            <wp:extent cx="1734403" cy="467833"/>
            <wp:effectExtent l="0" t="0" r="0" b="889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4403" cy="467833"/>
                    </a:xfrm>
                    <a:prstGeom prst="rect">
                      <a:avLst/>
                    </a:prstGeom>
                  </pic:spPr>
                </pic:pic>
              </a:graphicData>
            </a:graphic>
            <wp14:sizeRelH relativeFrom="page">
              <wp14:pctWidth>0</wp14:pctWidth>
            </wp14:sizeRelH>
            <wp14:sizeRelV relativeFrom="page">
              <wp14:pctHeight>0</wp14:pctHeight>
            </wp14:sizeRelV>
          </wp:anchor>
        </w:drawing>
      </w:r>
    </w:p>
    <w:p w14:paraId="004504D8" w14:textId="32B56115" w:rsidR="00B975BA" w:rsidRDefault="00B975BA" w:rsidP="007D0ED7">
      <w:pPr>
        <w:jc w:val="both"/>
        <w:rPr>
          <w:rFonts w:ascii="Calibri" w:eastAsia="Times New Roman" w:hAnsi="Calibri" w:cs="Times New Roman"/>
          <w:b/>
          <w:u w:val="single"/>
          <w:lang w:eastAsia="en-AU"/>
        </w:rPr>
      </w:pPr>
    </w:p>
    <w:p w14:paraId="5387AC13" w14:textId="77777777" w:rsidR="00B975BA" w:rsidRDefault="00B975BA" w:rsidP="007D0ED7">
      <w:pPr>
        <w:jc w:val="both"/>
        <w:rPr>
          <w:rFonts w:ascii="Calibri" w:eastAsia="Times New Roman" w:hAnsi="Calibri" w:cs="Times New Roman"/>
          <w:b/>
          <w:u w:val="single"/>
          <w:lang w:eastAsia="en-AU"/>
        </w:rPr>
      </w:pPr>
    </w:p>
    <w:p w14:paraId="59C4E9EF" w14:textId="77777777" w:rsidR="00B975BA" w:rsidRDefault="00B975BA" w:rsidP="007D0ED7">
      <w:pPr>
        <w:jc w:val="both"/>
        <w:rPr>
          <w:rFonts w:ascii="Calibri" w:eastAsia="Times New Roman" w:hAnsi="Calibri" w:cs="Times New Roman"/>
          <w:b/>
          <w:u w:val="single"/>
          <w:lang w:eastAsia="en-AU"/>
        </w:rPr>
      </w:pPr>
    </w:p>
    <w:p w14:paraId="6828B8FF" w14:textId="77777777" w:rsidR="00B975BA" w:rsidRDefault="00B975BA" w:rsidP="007D0ED7">
      <w:pPr>
        <w:jc w:val="both"/>
        <w:rPr>
          <w:rFonts w:ascii="Calibri" w:eastAsia="Times New Roman" w:hAnsi="Calibri" w:cs="Times New Roman"/>
          <w:b/>
          <w:u w:val="single"/>
          <w:lang w:eastAsia="en-AU"/>
        </w:rPr>
      </w:pPr>
    </w:p>
    <w:p w14:paraId="29B89F15" w14:textId="77777777" w:rsidR="0023589F" w:rsidRDefault="0023589F" w:rsidP="007D0ED7">
      <w:pPr>
        <w:jc w:val="both"/>
        <w:rPr>
          <w:rFonts w:ascii="Calibri" w:eastAsia="Times New Roman" w:hAnsi="Calibri" w:cs="Times New Roman"/>
          <w:b/>
          <w:sz w:val="44"/>
          <w:szCs w:val="44"/>
          <w:u w:val="single"/>
          <w:lang w:eastAsia="en-AU"/>
        </w:rPr>
      </w:pPr>
    </w:p>
    <w:p w14:paraId="00796343" w14:textId="77777777" w:rsidR="0023589F" w:rsidRDefault="0023589F" w:rsidP="007D0ED7">
      <w:pPr>
        <w:jc w:val="both"/>
        <w:rPr>
          <w:rFonts w:ascii="Calibri" w:eastAsia="Times New Roman" w:hAnsi="Calibri" w:cs="Times New Roman"/>
          <w:b/>
          <w:sz w:val="44"/>
          <w:szCs w:val="44"/>
          <w:u w:val="single"/>
          <w:lang w:eastAsia="en-AU"/>
        </w:rPr>
      </w:pPr>
    </w:p>
    <w:p w14:paraId="2AEB7E3C" w14:textId="77777777" w:rsidR="0023589F" w:rsidRDefault="0023589F" w:rsidP="007D0ED7">
      <w:pPr>
        <w:jc w:val="both"/>
        <w:rPr>
          <w:rFonts w:ascii="Calibri" w:eastAsia="Times New Roman" w:hAnsi="Calibri" w:cs="Times New Roman"/>
          <w:b/>
          <w:sz w:val="44"/>
          <w:szCs w:val="44"/>
          <w:u w:val="single"/>
          <w:lang w:eastAsia="en-AU"/>
        </w:rPr>
      </w:pPr>
    </w:p>
    <w:p w14:paraId="3BA90469" w14:textId="77777777" w:rsidR="0023589F" w:rsidRDefault="0023589F" w:rsidP="007D0ED7">
      <w:pPr>
        <w:jc w:val="both"/>
        <w:rPr>
          <w:rFonts w:ascii="Calibri" w:eastAsia="Times New Roman" w:hAnsi="Calibri" w:cs="Times New Roman"/>
          <w:b/>
          <w:sz w:val="44"/>
          <w:szCs w:val="44"/>
          <w:u w:val="single"/>
          <w:lang w:eastAsia="en-AU"/>
        </w:rPr>
      </w:pPr>
    </w:p>
    <w:p w14:paraId="4FDC08E3" w14:textId="77777777" w:rsidR="0023589F" w:rsidRDefault="0023589F" w:rsidP="007D0ED7">
      <w:pPr>
        <w:jc w:val="both"/>
        <w:rPr>
          <w:rFonts w:ascii="Calibri" w:eastAsia="Times New Roman" w:hAnsi="Calibri" w:cs="Times New Roman"/>
          <w:b/>
          <w:sz w:val="44"/>
          <w:szCs w:val="44"/>
          <w:u w:val="single"/>
          <w:lang w:eastAsia="en-AU"/>
        </w:rPr>
      </w:pPr>
    </w:p>
    <w:p w14:paraId="112748B2" w14:textId="77777777" w:rsidR="0023589F" w:rsidRDefault="0023589F" w:rsidP="007D0ED7">
      <w:pPr>
        <w:jc w:val="both"/>
        <w:rPr>
          <w:rFonts w:ascii="Calibri" w:eastAsia="Times New Roman" w:hAnsi="Calibri" w:cs="Times New Roman"/>
          <w:b/>
          <w:sz w:val="44"/>
          <w:szCs w:val="44"/>
          <w:u w:val="single"/>
          <w:lang w:eastAsia="en-AU"/>
        </w:rPr>
      </w:pPr>
    </w:p>
    <w:p w14:paraId="7DB0A6F0" w14:textId="474DDD15" w:rsidR="007D0ED7" w:rsidRPr="00973BEF" w:rsidRDefault="007D0ED7" w:rsidP="00973BEF">
      <w:pPr>
        <w:rPr>
          <w:rFonts w:ascii="Arial" w:eastAsia="Times New Roman" w:hAnsi="Arial" w:cs="Arial"/>
          <w:b/>
          <w:sz w:val="44"/>
          <w:szCs w:val="44"/>
          <w:lang w:eastAsia="en-AU"/>
        </w:rPr>
      </w:pPr>
      <w:r w:rsidRPr="00973BEF">
        <w:rPr>
          <w:rFonts w:ascii="Arial" w:eastAsia="Times New Roman" w:hAnsi="Arial" w:cs="Arial"/>
          <w:b/>
          <w:sz w:val="44"/>
          <w:szCs w:val="44"/>
          <w:lang w:eastAsia="en-AU"/>
        </w:rPr>
        <w:t>Investment Recommendations insert for SOA/ROA Centuria LifeGoals Investment Bond</w:t>
      </w:r>
      <w:r w:rsidR="0023589F" w:rsidRPr="00973BEF">
        <w:rPr>
          <w:rFonts w:ascii="Arial" w:eastAsia="Times New Roman" w:hAnsi="Arial" w:cs="Arial"/>
          <w:b/>
          <w:sz w:val="44"/>
          <w:szCs w:val="44"/>
          <w:lang w:eastAsia="en-AU"/>
        </w:rPr>
        <w:t xml:space="preserve"> </w:t>
      </w:r>
    </w:p>
    <w:p w14:paraId="366DCC74" w14:textId="77777777" w:rsidR="007D0ED7" w:rsidRPr="00B47488" w:rsidRDefault="007D0ED7">
      <w:pPr>
        <w:rPr>
          <w:rFonts w:ascii="Calibri" w:eastAsia="Times New Roman" w:hAnsi="Calibri" w:cs="Times New Roman"/>
          <w:b/>
          <w:lang w:eastAsia="en-AU"/>
        </w:rPr>
      </w:pPr>
    </w:p>
    <w:p w14:paraId="700C1D83" w14:textId="77777777" w:rsidR="007D0ED7" w:rsidRPr="00B47488" w:rsidRDefault="007D0ED7">
      <w:pPr>
        <w:rPr>
          <w:rFonts w:ascii="Calibri" w:eastAsia="Times New Roman" w:hAnsi="Calibri" w:cs="Times New Roman"/>
          <w:b/>
          <w:lang w:eastAsia="en-AU"/>
        </w:rPr>
      </w:pPr>
    </w:p>
    <w:p w14:paraId="18AD94A2" w14:textId="4FDBFF72" w:rsidR="007D0ED7" w:rsidRPr="00973BEF" w:rsidRDefault="00DD72D7">
      <w:pPr>
        <w:rPr>
          <w:rFonts w:ascii="Calibri" w:eastAsia="Times New Roman" w:hAnsi="Calibri" w:cs="Times New Roman"/>
          <w:bCs/>
          <w:sz w:val="36"/>
          <w:szCs w:val="36"/>
          <w:lang w:eastAsia="en-AU"/>
        </w:rPr>
      </w:pPr>
      <w:r>
        <w:rPr>
          <w:rFonts w:ascii="Calibri" w:eastAsia="Times New Roman" w:hAnsi="Calibri" w:cs="Times New Roman"/>
          <w:bCs/>
          <w:sz w:val="36"/>
          <w:szCs w:val="36"/>
          <w:lang w:eastAsia="en-AU"/>
        </w:rPr>
        <w:t>21</w:t>
      </w:r>
      <w:r w:rsidRPr="00DD72D7">
        <w:rPr>
          <w:rFonts w:ascii="Calibri" w:eastAsia="Times New Roman" w:hAnsi="Calibri" w:cs="Times New Roman"/>
          <w:bCs/>
          <w:sz w:val="36"/>
          <w:szCs w:val="36"/>
          <w:vertAlign w:val="superscript"/>
          <w:lang w:eastAsia="en-AU"/>
        </w:rPr>
        <w:t>st</w:t>
      </w:r>
      <w:r>
        <w:rPr>
          <w:rFonts w:ascii="Calibri" w:eastAsia="Times New Roman" w:hAnsi="Calibri" w:cs="Times New Roman"/>
          <w:bCs/>
          <w:sz w:val="36"/>
          <w:szCs w:val="36"/>
          <w:lang w:eastAsia="en-AU"/>
        </w:rPr>
        <w:t xml:space="preserve"> June </w:t>
      </w:r>
      <w:r w:rsidR="00466D4C" w:rsidRPr="00973BEF">
        <w:rPr>
          <w:rFonts w:ascii="Calibri" w:eastAsia="Times New Roman" w:hAnsi="Calibri" w:cs="Times New Roman"/>
          <w:bCs/>
          <w:sz w:val="36"/>
          <w:szCs w:val="36"/>
          <w:lang w:eastAsia="en-AU"/>
        </w:rPr>
        <w:t>202</w:t>
      </w:r>
      <w:r>
        <w:rPr>
          <w:rFonts w:ascii="Calibri" w:eastAsia="Times New Roman" w:hAnsi="Calibri" w:cs="Times New Roman"/>
          <w:bCs/>
          <w:sz w:val="36"/>
          <w:szCs w:val="36"/>
          <w:lang w:eastAsia="en-AU"/>
        </w:rPr>
        <w:t>4</w:t>
      </w:r>
    </w:p>
    <w:p w14:paraId="66513846" w14:textId="77777777" w:rsidR="007D0ED7" w:rsidRDefault="007D0ED7">
      <w:pPr>
        <w:rPr>
          <w:rFonts w:ascii="Calibri" w:eastAsia="Times New Roman" w:hAnsi="Calibri" w:cs="Times New Roman"/>
          <w:b/>
          <w:u w:val="single"/>
          <w:lang w:eastAsia="en-AU"/>
        </w:rPr>
      </w:pPr>
    </w:p>
    <w:p w14:paraId="7FB5236C" w14:textId="77777777" w:rsidR="007D0ED7" w:rsidRDefault="007D0ED7">
      <w:pPr>
        <w:rPr>
          <w:rFonts w:ascii="Calibri" w:eastAsia="Times New Roman" w:hAnsi="Calibri" w:cs="Times New Roman"/>
          <w:b/>
          <w:u w:val="single"/>
          <w:lang w:eastAsia="en-AU"/>
        </w:rPr>
      </w:pPr>
    </w:p>
    <w:p w14:paraId="39893C53" w14:textId="77777777" w:rsidR="007D0ED7" w:rsidRDefault="007D0ED7">
      <w:pPr>
        <w:rPr>
          <w:rFonts w:ascii="Calibri" w:eastAsia="Times New Roman" w:hAnsi="Calibri" w:cs="Times New Roman"/>
          <w:b/>
          <w:u w:val="single"/>
          <w:lang w:eastAsia="en-AU"/>
        </w:rPr>
      </w:pPr>
    </w:p>
    <w:p w14:paraId="75D747DB" w14:textId="77777777" w:rsidR="007D0ED7" w:rsidRDefault="007D0ED7">
      <w:pPr>
        <w:rPr>
          <w:rFonts w:ascii="Calibri" w:eastAsia="Times New Roman" w:hAnsi="Calibri" w:cs="Times New Roman"/>
          <w:b/>
          <w:u w:val="single"/>
          <w:lang w:eastAsia="en-AU"/>
        </w:rPr>
      </w:pPr>
    </w:p>
    <w:p w14:paraId="0ECF3C78" w14:textId="77777777" w:rsidR="00B975BA" w:rsidRDefault="00B975BA">
      <w:pPr>
        <w:rPr>
          <w:rFonts w:ascii="Calibri" w:eastAsia="Times New Roman" w:hAnsi="Calibri" w:cs="Times New Roman"/>
          <w:b/>
          <w:u w:val="single"/>
          <w:lang w:eastAsia="en-AU"/>
        </w:rPr>
      </w:pPr>
    </w:p>
    <w:p w14:paraId="658D8617" w14:textId="7880D134" w:rsidR="00B975BA" w:rsidRDefault="00B975BA">
      <w:pPr>
        <w:rPr>
          <w:rFonts w:ascii="Calibri" w:eastAsia="Times New Roman" w:hAnsi="Calibri" w:cs="Times New Roman"/>
          <w:b/>
          <w:u w:val="single"/>
          <w:lang w:eastAsia="en-AU"/>
        </w:rPr>
      </w:pPr>
    </w:p>
    <w:p w14:paraId="1130F55A" w14:textId="77777777" w:rsidR="00B975BA" w:rsidRDefault="00B975BA">
      <w:pPr>
        <w:rPr>
          <w:rFonts w:ascii="Calibri" w:eastAsia="Times New Roman" w:hAnsi="Calibri" w:cs="Times New Roman"/>
          <w:b/>
          <w:u w:val="single"/>
          <w:lang w:eastAsia="en-AU"/>
        </w:rPr>
      </w:pPr>
    </w:p>
    <w:p w14:paraId="463BFFD4" w14:textId="77777777" w:rsidR="00B975BA" w:rsidRDefault="00B975BA">
      <w:pPr>
        <w:rPr>
          <w:rFonts w:ascii="Calibri" w:eastAsia="Times New Roman" w:hAnsi="Calibri" w:cs="Times New Roman"/>
          <w:b/>
          <w:u w:val="single"/>
          <w:lang w:eastAsia="en-AU"/>
        </w:rPr>
      </w:pPr>
    </w:p>
    <w:p w14:paraId="4DB7B35D" w14:textId="77777777" w:rsidR="00B975BA" w:rsidRDefault="00B975BA">
      <w:pPr>
        <w:rPr>
          <w:rFonts w:ascii="Calibri" w:eastAsia="Times New Roman" w:hAnsi="Calibri" w:cs="Times New Roman"/>
          <w:b/>
          <w:u w:val="single"/>
          <w:lang w:eastAsia="en-AU"/>
        </w:rPr>
      </w:pPr>
    </w:p>
    <w:p w14:paraId="1F7FD725" w14:textId="77777777" w:rsidR="00B975BA" w:rsidRDefault="00B975BA">
      <w:pPr>
        <w:rPr>
          <w:rFonts w:ascii="Calibri" w:eastAsia="Times New Roman" w:hAnsi="Calibri" w:cs="Times New Roman"/>
          <w:b/>
          <w:u w:val="single"/>
          <w:lang w:eastAsia="en-AU"/>
        </w:rPr>
      </w:pPr>
    </w:p>
    <w:p w14:paraId="2CD19607" w14:textId="77777777" w:rsidR="00B975BA" w:rsidRDefault="00B975BA">
      <w:pPr>
        <w:rPr>
          <w:rFonts w:ascii="Calibri" w:eastAsia="Times New Roman" w:hAnsi="Calibri" w:cs="Times New Roman"/>
          <w:b/>
          <w:u w:val="single"/>
          <w:lang w:eastAsia="en-AU"/>
        </w:rPr>
      </w:pPr>
    </w:p>
    <w:p w14:paraId="51BC01C3" w14:textId="77777777" w:rsidR="00B975BA" w:rsidRDefault="00B975BA">
      <w:pPr>
        <w:rPr>
          <w:rFonts w:ascii="Calibri" w:eastAsia="Times New Roman" w:hAnsi="Calibri" w:cs="Times New Roman"/>
          <w:b/>
          <w:u w:val="single"/>
          <w:lang w:eastAsia="en-AU"/>
        </w:rPr>
      </w:pPr>
    </w:p>
    <w:p w14:paraId="7024BB80" w14:textId="77777777" w:rsidR="00B975BA" w:rsidRDefault="00B975BA">
      <w:pPr>
        <w:rPr>
          <w:rFonts w:ascii="Calibri" w:eastAsia="Times New Roman" w:hAnsi="Calibri" w:cs="Times New Roman"/>
          <w:b/>
          <w:u w:val="single"/>
          <w:lang w:eastAsia="en-AU"/>
        </w:rPr>
      </w:pPr>
    </w:p>
    <w:p w14:paraId="6C8C9465" w14:textId="77777777" w:rsidR="00B975BA" w:rsidRDefault="00B975BA">
      <w:pPr>
        <w:rPr>
          <w:rFonts w:ascii="Calibri" w:eastAsia="Times New Roman" w:hAnsi="Calibri" w:cs="Times New Roman"/>
          <w:b/>
          <w:u w:val="single"/>
          <w:lang w:eastAsia="en-AU"/>
        </w:rPr>
      </w:pPr>
    </w:p>
    <w:p w14:paraId="0D8E399B" w14:textId="77777777" w:rsidR="00B975BA" w:rsidRDefault="00B975BA">
      <w:pPr>
        <w:rPr>
          <w:rFonts w:ascii="Calibri" w:eastAsia="Times New Roman" w:hAnsi="Calibri" w:cs="Times New Roman"/>
          <w:b/>
          <w:u w:val="single"/>
          <w:lang w:eastAsia="en-AU"/>
        </w:rPr>
      </w:pPr>
    </w:p>
    <w:p w14:paraId="7725F633" w14:textId="77777777" w:rsidR="00B975BA" w:rsidRDefault="00B975BA">
      <w:pPr>
        <w:rPr>
          <w:rFonts w:ascii="Calibri" w:eastAsia="Times New Roman" w:hAnsi="Calibri" w:cs="Times New Roman"/>
          <w:b/>
          <w:u w:val="single"/>
          <w:lang w:eastAsia="en-AU"/>
        </w:rPr>
      </w:pPr>
    </w:p>
    <w:p w14:paraId="1CD48F7B" w14:textId="77777777" w:rsidR="00B975BA" w:rsidRDefault="00B975BA">
      <w:pPr>
        <w:rPr>
          <w:rFonts w:ascii="Calibri" w:eastAsia="Times New Roman" w:hAnsi="Calibri" w:cs="Times New Roman"/>
          <w:b/>
          <w:u w:val="single"/>
          <w:lang w:eastAsia="en-AU"/>
        </w:rPr>
      </w:pPr>
    </w:p>
    <w:p w14:paraId="5A83026A" w14:textId="77777777" w:rsidR="00B975BA" w:rsidRDefault="00B975BA">
      <w:pPr>
        <w:rPr>
          <w:rFonts w:ascii="Calibri" w:eastAsia="Times New Roman" w:hAnsi="Calibri" w:cs="Times New Roman"/>
          <w:b/>
          <w:u w:val="single"/>
          <w:lang w:eastAsia="en-AU"/>
        </w:rPr>
      </w:pPr>
    </w:p>
    <w:p w14:paraId="7EDA70BC" w14:textId="77777777" w:rsidR="00B975BA" w:rsidRDefault="00B975BA">
      <w:pPr>
        <w:rPr>
          <w:rFonts w:ascii="Calibri" w:eastAsia="Times New Roman" w:hAnsi="Calibri" w:cs="Times New Roman"/>
          <w:b/>
          <w:u w:val="single"/>
          <w:lang w:eastAsia="en-AU"/>
        </w:rPr>
      </w:pPr>
    </w:p>
    <w:p w14:paraId="0344F275" w14:textId="77777777" w:rsidR="00B975BA" w:rsidRDefault="00B975BA">
      <w:pPr>
        <w:rPr>
          <w:rFonts w:ascii="Calibri" w:eastAsia="Times New Roman" w:hAnsi="Calibri" w:cs="Times New Roman"/>
          <w:b/>
          <w:u w:val="single"/>
          <w:lang w:eastAsia="en-AU"/>
        </w:rPr>
      </w:pPr>
    </w:p>
    <w:p w14:paraId="60349545" w14:textId="5B5BD48E" w:rsidR="007D0ED7" w:rsidRPr="00072591" w:rsidRDefault="007D0ED7">
      <w:pPr>
        <w:rPr>
          <w:rFonts w:ascii="Calibri" w:eastAsia="Times New Roman" w:hAnsi="Calibri" w:cs="Times New Roman"/>
          <w:b/>
          <w:sz w:val="28"/>
          <w:szCs w:val="28"/>
          <w:u w:val="single"/>
          <w:lang w:eastAsia="en-AU"/>
        </w:rPr>
      </w:pPr>
      <w:r w:rsidRPr="00072591">
        <w:rPr>
          <w:rFonts w:ascii="Calibri" w:eastAsia="Times New Roman" w:hAnsi="Calibri" w:cs="Times New Roman"/>
          <w:b/>
          <w:sz w:val="28"/>
          <w:szCs w:val="28"/>
          <w:u w:val="single"/>
          <w:lang w:eastAsia="en-AU"/>
        </w:rPr>
        <w:br w:type="page"/>
      </w:r>
    </w:p>
    <w:p w14:paraId="14CDFA99" w14:textId="77777777" w:rsidR="00383CA0" w:rsidRPr="00973BEF" w:rsidRDefault="00383CA0" w:rsidP="00383CA0">
      <w:pPr>
        <w:pStyle w:val="TOCHeading"/>
        <w:rPr>
          <w:rFonts w:ascii="Arial" w:eastAsia="Helvetica LT" w:hAnsi="Arial" w:cs="Arial"/>
          <w:color w:val="auto"/>
          <w:sz w:val="22"/>
          <w:szCs w:val="20"/>
          <w:lang w:val="en-AU"/>
        </w:rPr>
      </w:pPr>
      <w:r w:rsidRPr="00973BEF">
        <w:rPr>
          <w:rFonts w:ascii="Arial" w:hAnsi="Arial" w:cs="Arial"/>
          <w:b/>
          <w:color w:val="auto"/>
          <w:sz w:val="36"/>
          <w:szCs w:val="36"/>
        </w:rPr>
        <w:lastRenderedPageBreak/>
        <w:t>Table of Contents</w:t>
      </w:r>
    </w:p>
    <w:p w14:paraId="3D13887D" w14:textId="77777777" w:rsidR="00383CA0" w:rsidRPr="00973BEF" w:rsidRDefault="00383CA0" w:rsidP="00383CA0">
      <w:pPr>
        <w:rPr>
          <w:rFonts w:ascii="Arial" w:hAnsi="Arial" w:cs="Arial"/>
        </w:rPr>
      </w:pPr>
    </w:p>
    <w:p w14:paraId="76EF7F27" w14:textId="03C02F4C" w:rsidR="00B963BD" w:rsidRPr="00973BEF" w:rsidRDefault="00383CA0" w:rsidP="00973BEF">
      <w:pPr>
        <w:pStyle w:val="TOC2"/>
        <w:tabs>
          <w:tab w:val="left" w:pos="660"/>
          <w:tab w:val="right" w:leader="dot" w:pos="8290"/>
        </w:tabs>
        <w:spacing w:line="276" w:lineRule="auto"/>
        <w:rPr>
          <w:rFonts w:eastAsiaTheme="minorEastAsia" w:cs="Arial"/>
          <w:noProof/>
          <w:szCs w:val="22"/>
          <w:lang w:eastAsia="en-AU"/>
        </w:rPr>
      </w:pPr>
      <w:r w:rsidRPr="00973BEF">
        <w:rPr>
          <w:rFonts w:cs="Arial"/>
        </w:rPr>
        <w:fldChar w:fldCharType="begin"/>
      </w:r>
      <w:r w:rsidRPr="00973BEF">
        <w:rPr>
          <w:rFonts w:cs="Arial"/>
        </w:rPr>
        <w:instrText xml:space="preserve"> TOC \o "1-3" \h \z \u </w:instrText>
      </w:r>
      <w:r w:rsidRPr="00973BEF">
        <w:rPr>
          <w:rFonts w:cs="Arial"/>
        </w:rPr>
        <w:fldChar w:fldCharType="separate"/>
      </w:r>
      <w:hyperlink w:anchor="_Toc52180443" w:history="1">
        <w:r w:rsidR="00B963BD" w:rsidRPr="00973BEF">
          <w:rPr>
            <w:rStyle w:val="Hyperlink"/>
            <w:rFonts w:cs="Arial"/>
            <w:b/>
            <w:noProof/>
          </w:rPr>
          <w:t>1.</w:t>
        </w:r>
        <w:r w:rsidR="00B963BD" w:rsidRPr="00973BEF">
          <w:rPr>
            <w:rFonts w:eastAsiaTheme="minorEastAsia" w:cs="Arial"/>
            <w:noProof/>
            <w:szCs w:val="22"/>
            <w:lang w:eastAsia="en-AU"/>
          </w:rPr>
          <w:tab/>
        </w:r>
        <w:r w:rsidR="00B963BD" w:rsidRPr="00973BEF">
          <w:rPr>
            <w:rStyle w:val="Hyperlink"/>
            <w:rFonts w:cs="Arial"/>
            <w:b/>
            <w:noProof/>
          </w:rPr>
          <w:t>Centuria Life Disclaimer</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_Toc52180443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3</w:t>
        </w:r>
        <w:r w:rsidR="00B963BD" w:rsidRPr="00973BEF">
          <w:rPr>
            <w:rFonts w:cs="Arial"/>
            <w:noProof/>
            <w:webHidden/>
          </w:rPr>
          <w:fldChar w:fldCharType="end"/>
        </w:r>
      </w:hyperlink>
    </w:p>
    <w:p w14:paraId="5CEDF6F3" w14:textId="61CBB4F9"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4" w:history="1">
        <w:r w:rsidR="00B963BD" w:rsidRPr="00973BEF">
          <w:rPr>
            <w:rStyle w:val="Hyperlink"/>
            <w:rFonts w:cs="Arial"/>
            <w:b/>
            <w:noProof/>
          </w:rPr>
          <w:t>2.</w:t>
        </w:r>
        <w:r w:rsidR="00B963BD" w:rsidRPr="00973BEF">
          <w:rPr>
            <w:rFonts w:eastAsiaTheme="minorEastAsia" w:cs="Arial"/>
            <w:noProof/>
            <w:szCs w:val="22"/>
            <w:lang w:eastAsia="en-AU"/>
          </w:rPr>
          <w:tab/>
        </w:r>
        <w:r w:rsidR="00B963BD" w:rsidRPr="00973BEF">
          <w:rPr>
            <w:rStyle w:val="Hyperlink"/>
            <w:rFonts w:cs="Arial"/>
            <w:b/>
            <w:noProof/>
          </w:rPr>
          <w:t>Investment Recommendations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_Toc52180444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4</w:t>
        </w:r>
        <w:r w:rsidR="00B963BD" w:rsidRPr="00973BEF">
          <w:rPr>
            <w:rFonts w:cs="Arial"/>
            <w:noProof/>
            <w:webHidden/>
          </w:rPr>
          <w:fldChar w:fldCharType="end"/>
        </w:r>
      </w:hyperlink>
    </w:p>
    <w:p w14:paraId="3027A4D1" w14:textId="70289014"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5" w:history="1">
        <w:r w:rsidR="00B963BD" w:rsidRPr="00973BEF">
          <w:rPr>
            <w:rStyle w:val="Hyperlink"/>
            <w:rFonts w:cs="Arial"/>
            <w:b/>
            <w:noProof/>
          </w:rPr>
          <w:t>3.</w:t>
        </w:r>
        <w:r w:rsidR="00B963BD" w:rsidRPr="00973BEF">
          <w:rPr>
            <w:rFonts w:eastAsiaTheme="minorEastAsia" w:cs="Arial"/>
            <w:noProof/>
            <w:szCs w:val="22"/>
            <w:lang w:eastAsia="en-AU"/>
          </w:rPr>
          <w:tab/>
        </w:r>
        <w:r w:rsidR="00B963BD" w:rsidRPr="00973BEF">
          <w:rPr>
            <w:rStyle w:val="Hyperlink"/>
            <w:rFonts w:cs="Arial"/>
            <w:b/>
            <w:noProof/>
          </w:rPr>
          <w:t xml:space="preserve">About Centuria Capital Group (from </w:t>
        </w:r>
        <w:r w:rsidR="00123BEA">
          <w:rPr>
            <w:rStyle w:val="Hyperlink"/>
            <w:rFonts w:cs="Arial"/>
            <w:b/>
            <w:noProof/>
          </w:rPr>
          <w:t xml:space="preserve">HY </w:t>
        </w:r>
        <w:r w:rsidR="00B963BD" w:rsidRPr="00973BEF">
          <w:rPr>
            <w:rStyle w:val="Hyperlink"/>
            <w:rFonts w:cs="Arial"/>
            <w:b/>
            <w:noProof/>
          </w:rPr>
          <w:t>202</w:t>
        </w:r>
        <w:r w:rsidR="0085360D">
          <w:rPr>
            <w:rStyle w:val="Hyperlink"/>
            <w:rFonts w:cs="Arial"/>
            <w:b/>
            <w:noProof/>
          </w:rPr>
          <w:t>2</w:t>
        </w:r>
        <w:r w:rsidR="00123BEA">
          <w:rPr>
            <w:rStyle w:val="Hyperlink"/>
            <w:rFonts w:cs="Arial"/>
            <w:b/>
            <w:noProof/>
          </w:rPr>
          <w:t xml:space="preserve"> report</w:t>
        </w:r>
        <w:r w:rsidR="00B963BD" w:rsidRPr="00973BEF">
          <w:rPr>
            <w:rStyle w:val="Hyperlink"/>
            <w:rFonts w:cs="Arial"/>
            <w:b/>
            <w:noProof/>
          </w:rPr>
          <w:t>)</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_Toc52180445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7</w:t>
        </w:r>
        <w:r w:rsidR="00B963BD" w:rsidRPr="00973BEF">
          <w:rPr>
            <w:rFonts w:cs="Arial"/>
            <w:noProof/>
            <w:webHidden/>
          </w:rPr>
          <w:fldChar w:fldCharType="end"/>
        </w:r>
      </w:hyperlink>
    </w:p>
    <w:p w14:paraId="7BEAA5E9" w14:textId="190A3882"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6" w:history="1">
        <w:r w:rsidR="00B963BD" w:rsidRPr="00973BEF">
          <w:rPr>
            <w:rStyle w:val="Hyperlink"/>
            <w:rFonts w:cs="Arial"/>
            <w:b/>
            <w:noProof/>
          </w:rPr>
          <w:t>4.</w:t>
        </w:r>
        <w:r w:rsidR="00B963BD" w:rsidRPr="00973BEF">
          <w:rPr>
            <w:rFonts w:eastAsiaTheme="minorEastAsia" w:cs="Arial"/>
            <w:noProof/>
            <w:szCs w:val="22"/>
            <w:lang w:eastAsia="en-AU"/>
          </w:rPr>
          <w:tab/>
        </w:r>
        <w:r w:rsidR="00B963BD" w:rsidRPr="00973BEF">
          <w:rPr>
            <w:rStyle w:val="Hyperlink"/>
            <w:rFonts w:cs="Arial"/>
            <w:b/>
            <w:noProof/>
          </w:rPr>
          <w:t>About Centuria LifeGoals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_Toc52180446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7</w:t>
        </w:r>
        <w:r w:rsidR="00B963BD" w:rsidRPr="00973BEF">
          <w:rPr>
            <w:rFonts w:cs="Arial"/>
            <w:noProof/>
            <w:webHidden/>
          </w:rPr>
          <w:fldChar w:fldCharType="end"/>
        </w:r>
      </w:hyperlink>
    </w:p>
    <w:p w14:paraId="73EBE07D" w14:textId="48B3195A"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7" w:history="1">
        <w:r w:rsidR="00B963BD" w:rsidRPr="00973BEF">
          <w:rPr>
            <w:rStyle w:val="Hyperlink"/>
            <w:rFonts w:cs="Arial"/>
            <w:b/>
            <w:noProof/>
          </w:rPr>
          <w:t>5.</w:t>
        </w:r>
        <w:r w:rsidR="00B963BD" w:rsidRPr="00973BEF">
          <w:rPr>
            <w:rFonts w:eastAsiaTheme="minorEastAsia" w:cs="Arial"/>
            <w:noProof/>
            <w:szCs w:val="22"/>
            <w:lang w:eastAsia="en-AU"/>
          </w:rPr>
          <w:tab/>
        </w:r>
        <w:r w:rsidR="00B963BD" w:rsidRPr="00973BEF">
          <w:rPr>
            <w:rStyle w:val="Hyperlink"/>
            <w:rFonts w:cs="Arial"/>
            <w:b/>
            <w:noProof/>
          </w:rPr>
          <w:t>Centuria LifeGoals Child Plan</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_Toc52180447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10</w:t>
        </w:r>
        <w:r w:rsidR="00B963BD" w:rsidRPr="00973BEF">
          <w:rPr>
            <w:rFonts w:cs="Arial"/>
            <w:noProof/>
            <w:webHidden/>
          </w:rPr>
          <w:fldChar w:fldCharType="end"/>
        </w:r>
      </w:hyperlink>
    </w:p>
    <w:p w14:paraId="3B101D90" w14:textId="6D8B245A"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8" w:history="1">
        <w:r w:rsidR="00B963BD" w:rsidRPr="00973BEF">
          <w:rPr>
            <w:rStyle w:val="Hyperlink"/>
            <w:rFonts w:cs="Arial"/>
            <w:b/>
            <w:noProof/>
          </w:rPr>
          <w:t>6.</w:t>
        </w:r>
        <w:r w:rsidR="00B963BD" w:rsidRPr="00973BEF">
          <w:rPr>
            <w:rFonts w:eastAsiaTheme="minorEastAsia" w:cs="Arial"/>
            <w:noProof/>
            <w:szCs w:val="22"/>
            <w:lang w:eastAsia="en-AU"/>
          </w:rPr>
          <w:tab/>
        </w:r>
        <w:r w:rsidR="00B963BD" w:rsidRPr="00973BEF">
          <w:rPr>
            <w:rStyle w:val="Hyperlink"/>
            <w:rFonts w:cs="Arial"/>
            <w:b/>
            <w:noProof/>
          </w:rPr>
          <w:t>Tax Effective Wealth Building</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_Toc52180448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12</w:t>
        </w:r>
        <w:r w:rsidR="00B963BD" w:rsidRPr="00973BEF">
          <w:rPr>
            <w:rFonts w:cs="Arial"/>
            <w:noProof/>
            <w:webHidden/>
          </w:rPr>
          <w:fldChar w:fldCharType="end"/>
        </w:r>
      </w:hyperlink>
    </w:p>
    <w:p w14:paraId="744AE46B" w14:textId="59471DEE"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49" w:history="1">
        <w:r w:rsidR="00B963BD" w:rsidRPr="00973BEF">
          <w:rPr>
            <w:rStyle w:val="Hyperlink"/>
            <w:rFonts w:cs="Arial"/>
            <w:b/>
            <w:noProof/>
          </w:rPr>
          <w:t>7.</w:t>
        </w:r>
        <w:r w:rsidR="00B963BD" w:rsidRPr="00973BEF">
          <w:rPr>
            <w:rFonts w:eastAsiaTheme="minorEastAsia" w:cs="Arial"/>
            <w:noProof/>
            <w:szCs w:val="22"/>
            <w:lang w:eastAsia="en-AU"/>
          </w:rPr>
          <w:tab/>
        </w:r>
        <w:r w:rsidR="00B963BD" w:rsidRPr="00973BEF">
          <w:rPr>
            <w:rStyle w:val="Hyperlink"/>
            <w:rFonts w:cs="Arial"/>
            <w:b/>
            <w:noProof/>
          </w:rPr>
          <w:t>Investment alternative/supplement to Superannuation</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_Toc52180449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13</w:t>
        </w:r>
        <w:r w:rsidR="00B963BD" w:rsidRPr="00973BEF">
          <w:rPr>
            <w:rFonts w:cs="Arial"/>
            <w:noProof/>
            <w:webHidden/>
          </w:rPr>
          <w:fldChar w:fldCharType="end"/>
        </w:r>
      </w:hyperlink>
    </w:p>
    <w:p w14:paraId="7829C52B" w14:textId="1DBA0DE8" w:rsidR="00B963BD" w:rsidRPr="00973BEF" w:rsidRDefault="00000000" w:rsidP="00973BEF">
      <w:pPr>
        <w:pStyle w:val="TOC2"/>
        <w:tabs>
          <w:tab w:val="left" w:pos="660"/>
          <w:tab w:val="right" w:leader="dot" w:pos="8290"/>
        </w:tabs>
        <w:spacing w:line="276" w:lineRule="auto"/>
        <w:rPr>
          <w:rFonts w:eastAsiaTheme="minorEastAsia" w:cs="Arial"/>
          <w:noProof/>
          <w:szCs w:val="22"/>
          <w:lang w:eastAsia="en-AU"/>
        </w:rPr>
      </w:pPr>
      <w:hyperlink w:anchor="_Toc52180450" w:history="1">
        <w:r w:rsidR="00B963BD" w:rsidRPr="00973BEF">
          <w:rPr>
            <w:rStyle w:val="Hyperlink"/>
            <w:rFonts w:cs="Arial"/>
            <w:b/>
            <w:noProof/>
          </w:rPr>
          <w:t>8.</w:t>
        </w:r>
        <w:r w:rsidR="00B963BD" w:rsidRPr="00973BEF">
          <w:rPr>
            <w:rFonts w:eastAsiaTheme="minorEastAsia" w:cs="Arial"/>
            <w:noProof/>
            <w:szCs w:val="22"/>
            <w:lang w:eastAsia="en-AU"/>
          </w:rPr>
          <w:tab/>
        </w:r>
        <w:r w:rsidR="00B963BD" w:rsidRPr="00973BEF">
          <w:rPr>
            <w:rStyle w:val="Hyperlink"/>
            <w:rFonts w:cs="Arial"/>
            <w:b/>
            <w:noProof/>
          </w:rPr>
          <w:t>Recommendations and Benefits (including Disadvantages)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_Toc52180450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15</w:t>
        </w:r>
        <w:r w:rsidR="00B963BD" w:rsidRPr="00973BEF">
          <w:rPr>
            <w:rFonts w:cs="Arial"/>
            <w:noProof/>
            <w:webHidden/>
          </w:rPr>
          <w:fldChar w:fldCharType="end"/>
        </w:r>
      </w:hyperlink>
    </w:p>
    <w:p w14:paraId="7EDAD02D" w14:textId="15C268FA" w:rsidR="00CE475C" w:rsidRPr="00973BEF" w:rsidRDefault="00383CA0" w:rsidP="00973BEF">
      <w:pPr>
        <w:spacing w:line="276" w:lineRule="auto"/>
        <w:jc w:val="both"/>
        <w:rPr>
          <w:rFonts w:ascii="Arial" w:hAnsi="Arial" w:cs="Arial"/>
          <w:b/>
          <w:bCs/>
          <w:noProof/>
        </w:rPr>
      </w:pPr>
      <w:r w:rsidRPr="00973BEF">
        <w:rPr>
          <w:rFonts w:ascii="Arial" w:hAnsi="Arial" w:cs="Arial"/>
          <w:b/>
          <w:bCs/>
          <w:noProof/>
        </w:rPr>
        <w:fldChar w:fldCharType="end"/>
      </w:r>
    </w:p>
    <w:p w14:paraId="5E420E05" w14:textId="77777777" w:rsidR="00CE475C" w:rsidRDefault="00CE475C">
      <w:pPr>
        <w:rPr>
          <w:b/>
          <w:bCs/>
          <w:noProof/>
        </w:rPr>
      </w:pPr>
      <w:r>
        <w:rPr>
          <w:b/>
          <w:bCs/>
          <w:noProof/>
        </w:rPr>
        <w:br w:type="page"/>
      </w:r>
    </w:p>
    <w:p w14:paraId="4D8FAC64" w14:textId="1CD553D4" w:rsidR="007D0ED7" w:rsidRPr="00973BEF" w:rsidRDefault="007D0ED7" w:rsidP="00383CA0">
      <w:pPr>
        <w:pStyle w:val="Heading2"/>
        <w:numPr>
          <w:ilvl w:val="0"/>
          <w:numId w:val="5"/>
        </w:numPr>
        <w:ind w:left="0" w:firstLine="0"/>
        <w:rPr>
          <w:rFonts w:ascii="Arial" w:hAnsi="Arial" w:cs="Arial"/>
          <w:b/>
        </w:rPr>
      </w:pPr>
      <w:bookmarkStart w:id="0" w:name="_Toc52180443"/>
      <w:r w:rsidRPr="00973BEF">
        <w:rPr>
          <w:rFonts w:ascii="Arial" w:hAnsi="Arial" w:cs="Arial"/>
          <w:b/>
        </w:rPr>
        <w:lastRenderedPageBreak/>
        <w:t>Centuria Life Disclaimer</w:t>
      </w:r>
      <w:bookmarkEnd w:id="0"/>
    </w:p>
    <w:p w14:paraId="3EFD9CB8" w14:textId="77777777" w:rsidR="00571472" w:rsidRPr="00973BEF" w:rsidRDefault="00571472" w:rsidP="00571472">
      <w:pPr>
        <w:jc w:val="both"/>
        <w:rPr>
          <w:rFonts w:ascii="Arial" w:eastAsia="Times New Roman" w:hAnsi="Arial" w:cs="Arial"/>
          <w:b/>
          <w:u w:val="single"/>
          <w:lang w:eastAsia="en-AU"/>
        </w:rPr>
      </w:pPr>
    </w:p>
    <w:p w14:paraId="142D40D6" w14:textId="7985D669" w:rsidR="00571472" w:rsidRPr="00973BEF" w:rsidRDefault="00571472" w:rsidP="00973BEF">
      <w:pPr>
        <w:rPr>
          <w:rFonts w:ascii="Arial" w:eastAsia="Times New Roman" w:hAnsi="Arial" w:cs="Arial"/>
          <w:bCs/>
          <w:sz w:val="22"/>
          <w:szCs w:val="22"/>
          <w:lang w:val="en-AU" w:eastAsia="en-AU"/>
        </w:rPr>
      </w:pPr>
      <w:r w:rsidRPr="00973BEF">
        <w:rPr>
          <w:rFonts w:ascii="Arial" w:eastAsia="Times New Roman" w:hAnsi="Arial" w:cs="Arial"/>
          <w:bCs/>
          <w:sz w:val="22"/>
          <w:szCs w:val="22"/>
          <w:lang w:val="en-AU" w:eastAsia="en-AU"/>
        </w:rPr>
        <w:t>The Centuria LifeGoals</w:t>
      </w:r>
      <w:r w:rsidR="00C05932" w:rsidRPr="00973BEF">
        <w:rPr>
          <w:rFonts w:ascii="Arial" w:eastAsia="Times New Roman" w:hAnsi="Arial" w:cs="Arial"/>
          <w:bCs/>
          <w:sz w:val="22"/>
          <w:szCs w:val="22"/>
          <w:lang w:val="en-AU" w:eastAsia="en-AU"/>
        </w:rPr>
        <w:t xml:space="preserve"> and LifeGoals Child Plan</w:t>
      </w:r>
      <w:r w:rsidR="00872C65">
        <w:rPr>
          <w:rFonts w:ascii="Arial" w:eastAsia="Times New Roman" w:hAnsi="Arial" w:cs="Arial"/>
          <w:bCs/>
          <w:sz w:val="22"/>
          <w:szCs w:val="22"/>
          <w:lang w:val="en-AU" w:eastAsia="en-AU"/>
        </w:rPr>
        <w:t xml:space="preserve"> </w:t>
      </w:r>
      <w:r w:rsidRPr="00973BEF">
        <w:rPr>
          <w:rFonts w:ascii="Arial" w:eastAsia="Times New Roman" w:hAnsi="Arial" w:cs="Arial"/>
          <w:bCs/>
          <w:sz w:val="22"/>
          <w:szCs w:val="22"/>
          <w:lang w:val="en-AU" w:eastAsia="en-AU"/>
        </w:rPr>
        <w:t>Product Disclosure Statement (PDS) was issued on</w:t>
      </w:r>
      <w:r w:rsidR="00466D4C" w:rsidRPr="00973BEF">
        <w:rPr>
          <w:rFonts w:ascii="Arial" w:eastAsia="Times New Roman" w:hAnsi="Arial" w:cs="Arial"/>
          <w:bCs/>
          <w:sz w:val="22"/>
          <w:szCs w:val="22"/>
          <w:lang w:val="en-AU" w:eastAsia="en-AU"/>
        </w:rPr>
        <w:t xml:space="preserve"> </w:t>
      </w:r>
      <w:r w:rsidR="0022429B">
        <w:rPr>
          <w:rFonts w:ascii="Arial" w:eastAsia="Times New Roman" w:hAnsi="Arial" w:cs="Arial"/>
          <w:bCs/>
          <w:sz w:val="22"/>
          <w:szCs w:val="22"/>
          <w:lang w:val="en-AU" w:eastAsia="en-AU"/>
        </w:rPr>
        <w:t>30</w:t>
      </w:r>
      <w:r w:rsidR="004369C8" w:rsidRPr="00973BEF">
        <w:rPr>
          <w:rFonts w:ascii="Arial" w:eastAsia="Times New Roman" w:hAnsi="Arial" w:cs="Arial"/>
          <w:bCs/>
          <w:sz w:val="22"/>
          <w:szCs w:val="22"/>
          <w:lang w:val="en-AU" w:eastAsia="en-AU"/>
        </w:rPr>
        <w:t xml:space="preserve"> </w:t>
      </w:r>
      <w:r w:rsidR="0022429B">
        <w:rPr>
          <w:rFonts w:ascii="Arial" w:eastAsia="Times New Roman" w:hAnsi="Arial" w:cs="Arial"/>
          <w:bCs/>
          <w:sz w:val="22"/>
          <w:szCs w:val="22"/>
          <w:lang w:val="en-AU" w:eastAsia="en-AU"/>
        </w:rPr>
        <w:t>May</w:t>
      </w:r>
      <w:r w:rsidR="001D227D" w:rsidRPr="00973BEF">
        <w:rPr>
          <w:rFonts w:ascii="Arial" w:eastAsia="Times New Roman" w:hAnsi="Arial" w:cs="Arial"/>
          <w:bCs/>
          <w:sz w:val="22"/>
          <w:szCs w:val="22"/>
          <w:lang w:val="en-AU" w:eastAsia="en-AU"/>
        </w:rPr>
        <w:t xml:space="preserve"> </w:t>
      </w:r>
      <w:r w:rsidR="00DD2569" w:rsidRPr="00973BEF">
        <w:rPr>
          <w:rFonts w:ascii="Arial" w:eastAsia="Times New Roman" w:hAnsi="Arial" w:cs="Arial"/>
          <w:bCs/>
          <w:sz w:val="22"/>
          <w:szCs w:val="22"/>
          <w:lang w:val="en-AU" w:eastAsia="en-AU"/>
        </w:rPr>
        <w:t>202</w:t>
      </w:r>
      <w:r w:rsidR="0022429B">
        <w:rPr>
          <w:rFonts w:ascii="Arial" w:eastAsia="Times New Roman" w:hAnsi="Arial" w:cs="Arial"/>
          <w:bCs/>
          <w:sz w:val="22"/>
          <w:szCs w:val="22"/>
          <w:lang w:val="en-AU" w:eastAsia="en-AU"/>
        </w:rPr>
        <w:t>4</w:t>
      </w:r>
      <w:r w:rsidRPr="00973BEF">
        <w:rPr>
          <w:rFonts w:ascii="Arial" w:eastAsia="Times New Roman" w:hAnsi="Arial" w:cs="Arial"/>
          <w:bCs/>
          <w:sz w:val="22"/>
          <w:szCs w:val="22"/>
          <w:lang w:val="en-AU" w:eastAsia="en-AU"/>
        </w:rPr>
        <w:t xml:space="preserve">. </w:t>
      </w:r>
      <w:r w:rsidR="00BA58B7">
        <w:rPr>
          <w:rFonts w:ascii="Arial" w:eastAsia="Times New Roman" w:hAnsi="Arial" w:cs="Arial"/>
          <w:bCs/>
          <w:sz w:val="22"/>
          <w:szCs w:val="22"/>
          <w:lang w:val="en-AU" w:eastAsia="en-AU"/>
        </w:rPr>
        <w:t>The</w:t>
      </w:r>
      <w:r w:rsidRPr="00973BEF">
        <w:rPr>
          <w:rFonts w:ascii="Arial" w:eastAsia="Times New Roman" w:hAnsi="Arial" w:cs="Arial"/>
          <w:bCs/>
          <w:sz w:val="22"/>
          <w:szCs w:val="22"/>
          <w:lang w:val="en-AU" w:eastAsia="en-AU"/>
        </w:rPr>
        <w:t xml:space="preserve"> PDS is issued by Centuria Life Limited ABN 79 087 649 054 and AFSL 230 867 (Centuria Life). Centuria Life is solely responsible for the contents of this PDS. </w:t>
      </w:r>
    </w:p>
    <w:p w14:paraId="6F71EDF7" w14:textId="77777777" w:rsidR="00973BEF" w:rsidRPr="00973BEF" w:rsidRDefault="00973BEF" w:rsidP="00973BEF">
      <w:pPr>
        <w:rPr>
          <w:rFonts w:ascii="Arial" w:eastAsia="Times New Roman" w:hAnsi="Arial" w:cs="Arial"/>
          <w:bCs/>
          <w:sz w:val="22"/>
          <w:szCs w:val="22"/>
          <w:lang w:val="en-AU" w:eastAsia="en-AU"/>
        </w:rPr>
      </w:pPr>
    </w:p>
    <w:p w14:paraId="25DC8955" w14:textId="629F53B1" w:rsidR="00571472" w:rsidRPr="00973BEF" w:rsidRDefault="0009328B" w:rsidP="00973BEF">
      <w:pPr>
        <w:rPr>
          <w:rFonts w:ascii="Arial" w:eastAsia="Times New Roman" w:hAnsi="Arial" w:cs="Arial"/>
          <w:bCs/>
          <w:sz w:val="22"/>
          <w:szCs w:val="22"/>
          <w:lang w:val="en-AU" w:eastAsia="en-AU"/>
        </w:rPr>
      </w:pPr>
      <w:r w:rsidRPr="00973BEF">
        <w:rPr>
          <w:rFonts w:ascii="Arial" w:eastAsia="Times New Roman" w:hAnsi="Arial" w:cs="Arial"/>
          <w:bCs/>
          <w:sz w:val="22"/>
          <w:szCs w:val="22"/>
          <w:lang w:val="en-AU" w:eastAsia="en-AU"/>
        </w:rPr>
        <w:t>The investor</w:t>
      </w:r>
      <w:r w:rsidR="00571472" w:rsidRPr="00973BEF">
        <w:rPr>
          <w:rFonts w:ascii="Arial" w:eastAsia="Times New Roman" w:hAnsi="Arial" w:cs="Arial"/>
          <w:bCs/>
          <w:sz w:val="22"/>
          <w:szCs w:val="22"/>
          <w:lang w:val="en-AU" w:eastAsia="en-AU"/>
        </w:rPr>
        <w:t xml:space="preserve"> should read this PDS carefully before making any investment decisions. </w:t>
      </w:r>
    </w:p>
    <w:p w14:paraId="155A9EF8" w14:textId="509158A0" w:rsidR="0009328B" w:rsidRDefault="0009328B" w:rsidP="00571472">
      <w:pPr>
        <w:jc w:val="both"/>
        <w:rPr>
          <w:rFonts w:ascii="Calibri" w:eastAsia="Times New Roman" w:hAnsi="Calibri" w:cs="Times New Roman"/>
          <w:bCs/>
          <w:lang w:val="en-AU" w:eastAsia="en-AU"/>
        </w:rPr>
      </w:pPr>
    </w:p>
    <w:p w14:paraId="657BED84" w14:textId="77777777" w:rsidR="00973BEF" w:rsidRDefault="00973BEF"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lang w:eastAsia="en-AU"/>
        </w:rPr>
      </w:pPr>
    </w:p>
    <w:p w14:paraId="0AEE5D53" w14:textId="6481E004" w:rsidR="0009328B" w:rsidRPr="00973BEF" w:rsidRDefault="0009328B"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sz w:val="22"/>
          <w:szCs w:val="22"/>
          <w:lang w:eastAsia="en-AU"/>
        </w:rPr>
      </w:pPr>
      <w:r w:rsidRPr="00973BEF">
        <w:rPr>
          <w:rFonts w:ascii="Arial" w:eastAsia="Times New Roman" w:hAnsi="Arial" w:cs="Arial"/>
          <w:b/>
          <w:sz w:val="22"/>
          <w:szCs w:val="22"/>
          <w:lang w:eastAsia="en-AU"/>
        </w:rPr>
        <w:t>IMPORTANT</w:t>
      </w:r>
    </w:p>
    <w:p w14:paraId="757EFFA8" w14:textId="77777777" w:rsidR="0009328B" w:rsidRPr="00973BEF" w:rsidRDefault="0009328B"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sz w:val="22"/>
          <w:szCs w:val="22"/>
          <w:u w:val="single"/>
          <w:lang w:eastAsia="en-AU"/>
        </w:rPr>
      </w:pPr>
    </w:p>
    <w:p w14:paraId="2422CD50" w14:textId="5E53C8A7" w:rsidR="0009328B" w:rsidRPr="00973BEF" w:rsidRDefault="0009328B" w:rsidP="00973B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Cs/>
          <w:sz w:val="22"/>
          <w:szCs w:val="22"/>
          <w:lang w:eastAsia="en-AU"/>
        </w:rPr>
      </w:pPr>
      <w:r w:rsidRPr="00973BEF">
        <w:rPr>
          <w:rFonts w:ascii="Arial" w:eastAsia="Times New Roman" w:hAnsi="Arial" w:cs="Arial"/>
          <w:bCs/>
          <w:sz w:val="22"/>
          <w:szCs w:val="22"/>
          <w:lang w:eastAsia="en-AU"/>
        </w:rPr>
        <w:t>This draft Statement of Advice (SOA)</w:t>
      </w:r>
      <w:r w:rsidR="00072591" w:rsidRPr="00973BEF">
        <w:rPr>
          <w:rFonts w:ascii="Arial" w:eastAsia="Times New Roman" w:hAnsi="Arial" w:cs="Arial"/>
          <w:bCs/>
          <w:sz w:val="22"/>
          <w:szCs w:val="22"/>
          <w:lang w:eastAsia="en-AU"/>
        </w:rPr>
        <w:t xml:space="preserve"> and Record of Advice (ROA) </w:t>
      </w:r>
      <w:r w:rsidRPr="00973BEF">
        <w:rPr>
          <w:rFonts w:ascii="Arial" w:eastAsia="Times New Roman" w:hAnsi="Arial" w:cs="Arial"/>
          <w:bCs/>
          <w:sz w:val="22"/>
          <w:szCs w:val="22"/>
          <w:lang w:eastAsia="en-AU"/>
        </w:rPr>
        <w:t xml:space="preserve">is provided strictly for the information of licensed financial advisers. Centuria Life makes no representation as to whether this complies with the requirements for a </w:t>
      </w:r>
      <w:r w:rsidR="00072591" w:rsidRPr="00973BEF">
        <w:rPr>
          <w:rFonts w:ascii="Arial" w:eastAsia="Times New Roman" w:hAnsi="Arial" w:cs="Arial"/>
          <w:bCs/>
          <w:sz w:val="22"/>
          <w:szCs w:val="22"/>
          <w:lang w:eastAsia="en-AU"/>
        </w:rPr>
        <w:t>SOA/ROA</w:t>
      </w:r>
      <w:r w:rsidRPr="00973BEF">
        <w:rPr>
          <w:rFonts w:ascii="Arial" w:eastAsia="Times New Roman" w:hAnsi="Arial" w:cs="Arial"/>
          <w:bCs/>
          <w:sz w:val="22"/>
          <w:szCs w:val="22"/>
          <w:lang w:eastAsia="en-AU"/>
        </w:rPr>
        <w:t>. This draft SOA</w:t>
      </w:r>
      <w:r w:rsidR="00072591" w:rsidRPr="00973BEF">
        <w:rPr>
          <w:rFonts w:ascii="Arial" w:eastAsia="Times New Roman" w:hAnsi="Arial" w:cs="Arial"/>
          <w:bCs/>
          <w:sz w:val="22"/>
          <w:szCs w:val="22"/>
          <w:lang w:eastAsia="en-AU"/>
        </w:rPr>
        <w:t>/ROA</w:t>
      </w:r>
      <w:r w:rsidRPr="00973BEF">
        <w:rPr>
          <w:rFonts w:ascii="Arial" w:eastAsia="Times New Roman" w:hAnsi="Arial" w:cs="Arial"/>
          <w:bCs/>
          <w:sz w:val="22"/>
          <w:szCs w:val="22"/>
          <w:lang w:eastAsia="en-AU"/>
        </w:rPr>
        <w:t xml:space="preserve"> is not a recommendation or advice. It provides potential wording that an adviser can consider for inclusion in their </w:t>
      </w:r>
      <w:r w:rsidR="00072591" w:rsidRPr="00973BEF">
        <w:rPr>
          <w:rFonts w:ascii="Arial" w:eastAsia="Times New Roman" w:hAnsi="Arial" w:cs="Arial"/>
          <w:bCs/>
          <w:sz w:val="22"/>
          <w:szCs w:val="22"/>
          <w:lang w:eastAsia="en-AU"/>
        </w:rPr>
        <w:t>SOA/ROA</w:t>
      </w:r>
      <w:r w:rsidRPr="00973BEF">
        <w:rPr>
          <w:rFonts w:ascii="Arial" w:eastAsia="Times New Roman" w:hAnsi="Arial" w:cs="Arial"/>
          <w:bCs/>
          <w:sz w:val="22"/>
          <w:szCs w:val="22"/>
          <w:lang w:eastAsia="en-AU"/>
        </w:rPr>
        <w:t>, issued under their own Australian Financial Services Licen</w:t>
      </w:r>
      <w:r w:rsidR="00B47488" w:rsidRPr="00973BEF">
        <w:rPr>
          <w:rFonts w:ascii="Arial" w:eastAsia="Times New Roman" w:hAnsi="Arial" w:cs="Arial"/>
          <w:bCs/>
          <w:sz w:val="22"/>
          <w:szCs w:val="22"/>
          <w:lang w:eastAsia="en-AU"/>
        </w:rPr>
        <w:t>s</w:t>
      </w:r>
      <w:r w:rsidRPr="00973BEF">
        <w:rPr>
          <w:rFonts w:ascii="Arial" w:eastAsia="Times New Roman" w:hAnsi="Arial" w:cs="Arial"/>
          <w:bCs/>
          <w:sz w:val="22"/>
          <w:szCs w:val="22"/>
          <w:lang w:eastAsia="en-AU"/>
        </w:rPr>
        <w:t xml:space="preserve">e. Centuria </w:t>
      </w:r>
      <w:r w:rsidR="00072591" w:rsidRPr="00973BEF">
        <w:rPr>
          <w:rFonts w:ascii="Arial" w:eastAsia="Times New Roman" w:hAnsi="Arial" w:cs="Arial"/>
          <w:bCs/>
          <w:sz w:val="22"/>
          <w:szCs w:val="22"/>
          <w:lang w:eastAsia="en-AU"/>
        </w:rPr>
        <w:t>Life</w:t>
      </w:r>
      <w:r w:rsidRPr="00973BEF">
        <w:rPr>
          <w:rFonts w:ascii="Arial" w:eastAsia="Times New Roman" w:hAnsi="Arial" w:cs="Arial"/>
          <w:bCs/>
          <w:sz w:val="22"/>
          <w:szCs w:val="22"/>
          <w:lang w:eastAsia="en-AU"/>
        </w:rPr>
        <w:t xml:space="preserve"> is not authorised to provide personal financial advice and it is recommended that an adviser undertake</w:t>
      </w:r>
      <w:r w:rsidR="00072591" w:rsidRPr="00973BEF">
        <w:rPr>
          <w:rFonts w:ascii="Arial" w:eastAsia="Times New Roman" w:hAnsi="Arial" w:cs="Arial"/>
          <w:bCs/>
          <w:sz w:val="22"/>
          <w:szCs w:val="22"/>
          <w:lang w:eastAsia="en-AU"/>
        </w:rPr>
        <w:t>s</w:t>
      </w:r>
      <w:r w:rsidRPr="00973BEF">
        <w:rPr>
          <w:rFonts w:ascii="Arial" w:eastAsia="Times New Roman" w:hAnsi="Arial" w:cs="Arial"/>
          <w:bCs/>
          <w:sz w:val="22"/>
          <w:szCs w:val="22"/>
          <w:lang w:eastAsia="en-AU"/>
        </w:rPr>
        <w:t xml:space="preserve"> their own research and confirm any statement in this draft SOA</w:t>
      </w:r>
      <w:r w:rsidR="00072591" w:rsidRPr="00973BEF">
        <w:rPr>
          <w:rFonts w:ascii="Arial" w:eastAsia="Times New Roman" w:hAnsi="Arial" w:cs="Arial"/>
          <w:bCs/>
          <w:sz w:val="22"/>
          <w:szCs w:val="22"/>
          <w:lang w:eastAsia="en-AU"/>
        </w:rPr>
        <w:t>/ROA</w:t>
      </w:r>
      <w:r w:rsidRPr="00973BEF">
        <w:rPr>
          <w:rFonts w:ascii="Arial" w:eastAsia="Times New Roman" w:hAnsi="Arial" w:cs="Arial"/>
          <w:bCs/>
          <w:sz w:val="22"/>
          <w:szCs w:val="22"/>
          <w:lang w:eastAsia="en-AU"/>
        </w:rPr>
        <w:t xml:space="preserve"> before inclusion of any wording in whole or in part. </w:t>
      </w:r>
    </w:p>
    <w:p w14:paraId="4F45977E" w14:textId="77777777" w:rsidR="00973BEF" w:rsidRPr="00973BEF" w:rsidRDefault="00973BEF"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lang w:eastAsia="en-AU"/>
        </w:rPr>
      </w:pPr>
    </w:p>
    <w:p w14:paraId="7301C55E" w14:textId="77777777" w:rsidR="0009328B" w:rsidRDefault="0009328B" w:rsidP="00571472">
      <w:pPr>
        <w:jc w:val="both"/>
        <w:rPr>
          <w:rFonts w:ascii="Calibri" w:eastAsia="Times New Roman" w:hAnsi="Calibri" w:cs="Times New Roman"/>
          <w:bCs/>
          <w:lang w:val="en-AU" w:eastAsia="en-AU"/>
        </w:rPr>
      </w:pPr>
    </w:p>
    <w:p w14:paraId="649DEC2F" w14:textId="162B436B" w:rsidR="007D0ED7" w:rsidRDefault="007D0ED7" w:rsidP="00072591">
      <w:pPr>
        <w:rPr>
          <w:rFonts w:ascii="Calibri" w:eastAsia="Times New Roman" w:hAnsi="Calibri" w:cs="Times New Roman"/>
          <w:bCs/>
          <w:lang w:eastAsia="en-AU"/>
        </w:rPr>
      </w:pPr>
    </w:p>
    <w:p w14:paraId="14C61C31" w14:textId="0F343FBF" w:rsidR="00072591" w:rsidRDefault="00072591" w:rsidP="00072591">
      <w:pPr>
        <w:rPr>
          <w:rFonts w:ascii="Calibri" w:eastAsia="Times New Roman" w:hAnsi="Calibri" w:cs="Times New Roman"/>
          <w:bCs/>
          <w:lang w:eastAsia="en-AU"/>
        </w:rPr>
      </w:pPr>
    </w:p>
    <w:p w14:paraId="627E41D9" w14:textId="20B11C44" w:rsidR="00072591" w:rsidRDefault="00072591" w:rsidP="00072591">
      <w:pPr>
        <w:rPr>
          <w:rFonts w:ascii="Calibri" w:eastAsia="Times New Roman" w:hAnsi="Calibri" w:cs="Times New Roman"/>
          <w:bCs/>
          <w:lang w:eastAsia="en-AU"/>
        </w:rPr>
      </w:pPr>
    </w:p>
    <w:p w14:paraId="45962EE6" w14:textId="2D92115C" w:rsidR="00072591" w:rsidRDefault="00072591" w:rsidP="00072591">
      <w:pPr>
        <w:rPr>
          <w:rFonts w:ascii="Calibri" w:eastAsia="Times New Roman" w:hAnsi="Calibri" w:cs="Times New Roman"/>
          <w:bCs/>
          <w:lang w:eastAsia="en-AU"/>
        </w:rPr>
      </w:pPr>
    </w:p>
    <w:p w14:paraId="57B0CE29" w14:textId="34E1EFA2" w:rsidR="00072591" w:rsidRDefault="00072591" w:rsidP="00072591">
      <w:pPr>
        <w:rPr>
          <w:rFonts w:ascii="Calibri" w:eastAsia="Times New Roman" w:hAnsi="Calibri" w:cs="Times New Roman"/>
          <w:bCs/>
          <w:lang w:eastAsia="en-AU"/>
        </w:rPr>
      </w:pPr>
    </w:p>
    <w:p w14:paraId="5AB2F38A" w14:textId="1E35DF3C" w:rsidR="00072591" w:rsidRDefault="00072591" w:rsidP="00072591">
      <w:pPr>
        <w:rPr>
          <w:rFonts w:ascii="Calibri" w:eastAsia="Times New Roman" w:hAnsi="Calibri" w:cs="Times New Roman"/>
          <w:bCs/>
          <w:lang w:eastAsia="en-AU"/>
        </w:rPr>
      </w:pPr>
    </w:p>
    <w:p w14:paraId="13C1BC11" w14:textId="0A58A5A8" w:rsidR="00072591" w:rsidRDefault="00072591" w:rsidP="00072591">
      <w:pPr>
        <w:rPr>
          <w:rFonts w:ascii="Calibri" w:eastAsia="Times New Roman" w:hAnsi="Calibri" w:cs="Times New Roman"/>
          <w:bCs/>
          <w:lang w:eastAsia="en-AU"/>
        </w:rPr>
      </w:pPr>
    </w:p>
    <w:p w14:paraId="05D7CA78" w14:textId="427F060E" w:rsidR="00072591" w:rsidRDefault="00072591" w:rsidP="00072591">
      <w:pPr>
        <w:rPr>
          <w:rFonts w:ascii="Calibri" w:eastAsia="Times New Roman" w:hAnsi="Calibri" w:cs="Times New Roman"/>
          <w:bCs/>
          <w:lang w:eastAsia="en-AU"/>
        </w:rPr>
      </w:pPr>
    </w:p>
    <w:p w14:paraId="1E182439" w14:textId="1F327015" w:rsidR="00072591" w:rsidRDefault="00072591" w:rsidP="00072591">
      <w:pPr>
        <w:rPr>
          <w:rFonts w:ascii="Calibri" w:eastAsia="Times New Roman" w:hAnsi="Calibri" w:cs="Times New Roman"/>
          <w:bCs/>
          <w:lang w:eastAsia="en-AU"/>
        </w:rPr>
      </w:pPr>
    </w:p>
    <w:p w14:paraId="6D029325" w14:textId="16D3D127" w:rsidR="00072591" w:rsidRDefault="00072591" w:rsidP="00072591">
      <w:pPr>
        <w:rPr>
          <w:rFonts w:ascii="Calibri" w:eastAsia="Times New Roman" w:hAnsi="Calibri" w:cs="Times New Roman"/>
          <w:bCs/>
          <w:lang w:eastAsia="en-AU"/>
        </w:rPr>
      </w:pPr>
    </w:p>
    <w:p w14:paraId="570B8F6C" w14:textId="7189FC4C" w:rsidR="00072591" w:rsidRDefault="00072591" w:rsidP="00072591">
      <w:pPr>
        <w:rPr>
          <w:rFonts w:ascii="Calibri" w:eastAsia="Times New Roman" w:hAnsi="Calibri" w:cs="Times New Roman"/>
          <w:bCs/>
          <w:lang w:eastAsia="en-AU"/>
        </w:rPr>
      </w:pPr>
    </w:p>
    <w:p w14:paraId="55A0D62F" w14:textId="1645BC8B" w:rsidR="00072591" w:rsidRDefault="00072591" w:rsidP="00072591">
      <w:pPr>
        <w:rPr>
          <w:rFonts w:ascii="Calibri" w:eastAsia="Times New Roman" w:hAnsi="Calibri" w:cs="Times New Roman"/>
          <w:bCs/>
          <w:lang w:eastAsia="en-AU"/>
        </w:rPr>
      </w:pPr>
    </w:p>
    <w:p w14:paraId="0C5ED074" w14:textId="2C6FAF35" w:rsidR="00072591" w:rsidRDefault="00072591" w:rsidP="00072591">
      <w:pPr>
        <w:rPr>
          <w:rFonts w:ascii="Calibri" w:eastAsia="Times New Roman" w:hAnsi="Calibri" w:cs="Times New Roman"/>
          <w:bCs/>
          <w:lang w:eastAsia="en-AU"/>
        </w:rPr>
      </w:pPr>
    </w:p>
    <w:p w14:paraId="53A15F84" w14:textId="70DA2DEE" w:rsidR="00072591" w:rsidRDefault="00072591" w:rsidP="00072591">
      <w:pPr>
        <w:rPr>
          <w:rFonts w:ascii="Calibri" w:eastAsia="Times New Roman" w:hAnsi="Calibri" w:cs="Times New Roman"/>
          <w:bCs/>
          <w:lang w:eastAsia="en-AU"/>
        </w:rPr>
      </w:pPr>
    </w:p>
    <w:p w14:paraId="7D2101A3" w14:textId="7648C5EB" w:rsidR="00072591" w:rsidRDefault="00072591" w:rsidP="00072591">
      <w:pPr>
        <w:rPr>
          <w:rFonts w:ascii="Calibri" w:eastAsia="Times New Roman" w:hAnsi="Calibri" w:cs="Times New Roman"/>
          <w:bCs/>
          <w:lang w:eastAsia="en-AU"/>
        </w:rPr>
      </w:pPr>
    </w:p>
    <w:p w14:paraId="60DDC460" w14:textId="36C38864" w:rsidR="00072591" w:rsidRDefault="00072591" w:rsidP="00072591">
      <w:pPr>
        <w:rPr>
          <w:rFonts w:ascii="Calibri" w:eastAsia="Times New Roman" w:hAnsi="Calibri" w:cs="Times New Roman"/>
          <w:bCs/>
          <w:lang w:eastAsia="en-AU"/>
        </w:rPr>
      </w:pPr>
    </w:p>
    <w:p w14:paraId="0654454A" w14:textId="69F2DD01" w:rsidR="00072591" w:rsidRDefault="00072591" w:rsidP="00072591">
      <w:pPr>
        <w:rPr>
          <w:rFonts w:ascii="Calibri" w:eastAsia="Times New Roman" w:hAnsi="Calibri" w:cs="Times New Roman"/>
          <w:bCs/>
          <w:lang w:eastAsia="en-AU"/>
        </w:rPr>
      </w:pPr>
    </w:p>
    <w:p w14:paraId="25156740" w14:textId="4126CDB4" w:rsidR="00072591" w:rsidRDefault="00072591" w:rsidP="00072591">
      <w:pPr>
        <w:rPr>
          <w:rFonts w:ascii="Calibri" w:eastAsia="Times New Roman" w:hAnsi="Calibri" w:cs="Times New Roman"/>
          <w:bCs/>
          <w:lang w:eastAsia="en-AU"/>
        </w:rPr>
      </w:pPr>
    </w:p>
    <w:p w14:paraId="08AE48DD" w14:textId="212DEAED" w:rsidR="00072591" w:rsidRDefault="00072591" w:rsidP="00072591">
      <w:pPr>
        <w:rPr>
          <w:rFonts w:ascii="Calibri" w:eastAsia="Times New Roman" w:hAnsi="Calibri" w:cs="Times New Roman"/>
          <w:bCs/>
          <w:lang w:eastAsia="en-AU"/>
        </w:rPr>
      </w:pPr>
    </w:p>
    <w:p w14:paraId="799A591D" w14:textId="3159B7A1" w:rsidR="00072591" w:rsidRDefault="00072591" w:rsidP="00072591">
      <w:pPr>
        <w:rPr>
          <w:rFonts w:ascii="Calibri" w:eastAsia="Times New Roman" w:hAnsi="Calibri" w:cs="Times New Roman"/>
          <w:bCs/>
          <w:lang w:eastAsia="en-AU"/>
        </w:rPr>
      </w:pPr>
    </w:p>
    <w:p w14:paraId="59E66C56" w14:textId="77D6F8B4" w:rsidR="00072591" w:rsidRDefault="00072591" w:rsidP="00072591">
      <w:pPr>
        <w:rPr>
          <w:rFonts w:ascii="Calibri" w:eastAsia="Times New Roman" w:hAnsi="Calibri" w:cs="Times New Roman"/>
          <w:bCs/>
          <w:lang w:eastAsia="en-AU"/>
        </w:rPr>
      </w:pPr>
    </w:p>
    <w:p w14:paraId="0D100CF3" w14:textId="3BCD8DFC" w:rsidR="00072591" w:rsidRDefault="00072591" w:rsidP="00072591">
      <w:pPr>
        <w:rPr>
          <w:rFonts w:ascii="Calibri" w:eastAsia="Times New Roman" w:hAnsi="Calibri" w:cs="Times New Roman"/>
          <w:bCs/>
          <w:lang w:eastAsia="en-AU"/>
        </w:rPr>
      </w:pPr>
    </w:p>
    <w:p w14:paraId="57CCCFDE" w14:textId="6AAE5681" w:rsidR="00282F90" w:rsidRDefault="00282F90">
      <w:pPr>
        <w:rPr>
          <w:rFonts w:ascii="Calibri" w:eastAsia="Times New Roman" w:hAnsi="Calibri" w:cs="Times New Roman"/>
          <w:bCs/>
          <w:lang w:eastAsia="en-AU"/>
        </w:rPr>
      </w:pPr>
      <w:r>
        <w:rPr>
          <w:rFonts w:ascii="Calibri" w:eastAsia="Times New Roman" w:hAnsi="Calibri" w:cs="Times New Roman"/>
          <w:bCs/>
          <w:lang w:eastAsia="en-AU"/>
        </w:rPr>
        <w:br w:type="page"/>
      </w:r>
    </w:p>
    <w:p w14:paraId="3D398834" w14:textId="77777777" w:rsidR="00072591" w:rsidRDefault="00072591" w:rsidP="00072591">
      <w:pPr>
        <w:rPr>
          <w:rFonts w:ascii="Calibri" w:eastAsia="Times New Roman" w:hAnsi="Calibri" w:cs="Times New Roman"/>
          <w:bCs/>
          <w:lang w:eastAsia="en-AU"/>
        </w:rPr>
      </w:pPr>
    </w:p>
    <w:p w14:paraId="2A400993" w14:textId="77777777" w:rsidR="00AD245F" w:rsidRPr="00973BEF" w:rsidRDefault="00AD245F" w:rsidP="00383CA0">
      <w:pPr>
        <w:pStyle w:val="Heading2"/>
        <w:numPr>
          <w:ilvl w:val="0"/>
          <w:numId w:val="5"/>
        </w:numPr>
        <w:ind w:left="0" w:firstLine="0"/>
        <w:rPr>
          <w:rFonts w:ascii="Arial" w:hAnsi="Arial" w:cs="Arial"/>
          <w:b/>
        </w:rPr>
      </w:pPr>
      <w:bookmarkStart w:id="1" w:name="_Toc52180444"/>
      <w:r w:rsidRPr="00973BEF">
        <w:rPr>
          <w:rFonts w:ascii="Arial" w:hAnsi="Arial" w:cs="Arial"/>
          <w:b/>
        </w:rPr>
        <w:t>Investment Recommendations</w:t>
      </w:r>
      <w:bookmarkEnd w:id="1"/>
    </w:p>
    <w:p w14:paraId="193F74B0" w14:textId="77777777" w:rsidR="00AD245F" w:rsidRDefault="00AD245F" w:rsidP="00AD245F">
      <w:pPr>
        <w:jc w:val="both"/>
        <w:rPr>
          <w:rFonts w:ascii="Calibri" w:eastAsia="Times New Roman" w:hAnsi="Calibri" w:cs="Times New Roman"/>
          <w:b/>
          <w:lang w:eastAsia="en-AU"/>
        </w:rPr>
      </w:pPr>
    </w:p>
    <w:p w14:paraId="2D66B86D" w14:textId="0C00E435" w:rsidR="00994F39" w:rsidRPr="00973BEF" w:rsidRDefault="00994F39" w:rsidP="00AD245F">
      <w:pPr>
        <w:jc w:val="both"/>
        <w:rPr>
          <w:rFonts w:ascii="Arial" w:eastAsia="Times New Roman" w:hAnsi="Arial" w:cs="Arial"/>
          <w:b/>
          <w:lang w:eastAsia="en-AU"/>
        </w:rPr>
      </w:pPr>
      <w:r w:rsidRPr="00973BEF">
        <w:rPr>
          <w:rFonts w:ascii="Arial" w:eastAsia="Times New Roman" w:hAnsi="Arial" w:cs="Arial"/>
          <w:b/>
          <w:lang w:eastAsia="en-AU"/>
        </w:rPr>
        <w:t>Basis for Recommendation</w:t>
      </w:r>
    </w:p>
    <w:p w14:paraId="58BDF1C8" w14:textId="77777777" w:rsidR="00994F39" w:rsidRPr="00973BEF" w:rsidRDefault="00994F39" w:rsidP="00994F39">
      <w:pPr>
        <w:jc w:val="both"/>
        <w:rPr>
          <w:rFonts w:ascii="Arial" w:eastAsia="Times New Roman" w:hAnsi="Arial" w:cs="Arial"/>
          <w:lang w:eastAsia="en-AU"/>
        </w:rPr>
      </w:pPr>
    </w:p>
    <w:p w14:paraId="09F16ABD"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The recommendation that follows is based on the information you have provided during our conversations.  If I have misinterpreted this information, or have made assumptions that are incorrect, please advise me immediately as this may have an impact on the recommendations made.</w:t>
      </w:r>
    </w:p>
    <w:p w14:paraId="0D98896A" w14:textId="77777777" w:rsidR="00994F39" w:rsidRPr="00973BEF" w:rsidRDefault="00994F39" w:rsidP="00973BEF">
      <w:pPr>
        <w:rPr>
          <w:rFonts w:ascii="Arial" w:eastAsia="Times New Roman" w:hAnsi="Arial" w:cs="Arial"/>
          <w:sz w:val="22"/>
          <w:szCs w:val="22"/>
          <w:lang w:eastAsia="en-AU"/>
        </w:rPr>
      </w:pPr>
    </w:p>
    <w:p w14:paraId="2FDC5631"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The recommendations are also based on what we understand to be your risk profile and your investment timeframe.  </w:t>
      </w:r>
    </w:p>
    <w:p w14:paraId="32E34F7F" w14:textId="77777777" w:rsidR="00994F39" w:rsidRPr="00973BEF" w:rsidRDefault="00994F39" w:rsidP="00973BEF">
      <w:pPr>
        <w:rPr>
          <w:rFonts w:ascii="Arial" w:eastAsia="Times New Roman" w:hAnsi="Arial" w:cs="Arial"/>
          <w:sz w:val="22"/>
          <w:szCs w:val="22"/>
          <w:lang w:eastAsia="en-AU"/>
        </w:rPr>
      </w:pPr>
    </w:p>
    <w:p w14:paraId="672FD58B" w14:textId="3E2A4F9C" w:rsidR="00994F39" w:rsidRPr="00973BEF" w:rsidRDefault="00994F39" w:rsidP="00973BEF">
      <w:pPr>
        <w:rPr>
          <w:rFonts w:ascii="Arial" w:eastAsia="Times New Roman" w:hAnsi="Arial" w:cs="Arial"/>
          <w:sz w:val="22"/>
          <w:szCs w:val="22"/>
          <w:lang w:eastAsia="en-AU"/>
        </w:rPr>
      </w:pPr>
      <w:bookmarkStart w:id="2" w:name="OLE_LINK35"/>
      <w:bookmarkStart w:id="3" w:name="OLE_LINK37"/>
      <w:r w:rsidRPr="00973BEF">
        <w:rPr>
          <w:rFonts w:ascii="Arial" w:eastAsia="Times New Roman" w:hAnsi="Arial" w:cs="Arial"/>
          <w:sz w:val="22"/>
          <w:szCs w:val="22"/>
          <w:lang w:eastAsia="en-AU"/>
        </w:rPr>
        <w:t>The purpose of this SOA</w:t>
      </w:r>
      <w:r w:rsidR="007325A9" w:rsidRPr="00973BEF">
        <w:rPr>
          <w:rFonts w:ascii="Arial" w:eastAsia="Times New Roman" w:hAnsi="Arial" w:cs="Arial"/>
          <w:sz w:val="22"/>
          <w:szCs w:val="22"/>
          <w:lang w:eastAsia="en-AU"/>
        </w:rPr>
        <w:t>/ROA</w:t>
      </w:r>
      <w:r w:rsidRPr="00973BEF">
        <w:rPr>
          <w:rFonts w:ascii="Arial" w:eastAsia="Times New Roman" w:hAnsi="Arial" w:cs="Arial"/>
          <w:sz w:val="22"/>
          <w:szCs w:val="22"/>
          <w:lang w:eastAsia="en-AU"/>
        </w:rPr>
        <w:t xml:space="preserve"> is to make </w:t>
      </w:r>
      <w:r w:rsidR="0009328B" w:rsidRPr="00973BEF">
        <w:rPr>
          <w:rFonts w:ascii="Arial" w:eastAsia="Times New Roman" w:hAnsi="Arial" w:cs="Arial"/>
          <w:sz w:val="22"/>
          <w:szCs w:val="22"/>
          <w:lang w:eastAsia="en-AU"/>
        </w:rPr>
        <w:t>a recommendation</w:t>
      </w:r>
      <w:r w:rsidRPr="00973BEF">
        <w:rPr>
          <w:rFonts w:ascii="Arial" w:eastAsia="Times New Roman" w:hAnsi="Arial" w:cs="Arial"/>
          <w:sz w:val="22"/>
          <w:szCs w:val="22"/>
          <w:lang w:eastAsia="en-AU"/>
        </w:rPr>
        <w:t xml:space="preserve"> </w:t>
      </w:r>
      <w:r w:rsidR="0009328B" w:rsidRPr="00973BEF">
        <w:rPr>
          <w:rFonts w:ascii="Arial" w:eastAsia="Times New Roman" w:hAnsi="Arial" w:cs="Arial"/>
          <w:sz w:val="22"/>
          <w:szCs w:val="22"/>
          <w:lang w:eastAsia="en-AU"/>
        </w:rPr>
        <w:t xml:space="preserve">for you </w:t>
      </w:r>
      <w:bookmarkStart w:id="4" w:name="_Hlk20906829"/>
      <w:r w:rsidR="0009328B" w:rsidRPr="00973BEF">
        <w:rPr>
          <w:rFonts w:ascii="Arial" w:eastAsia="Times New Roman" w:hAnsi="Arial" w:cs="Arial"/>
          <w:sz w:val="22"/>
          <w:szCs w:val="22"/>
          <w:lang w:eastAsia="en-AU"/>
        </w:rPr>
        <w:t xml:space="preserve">to invest </w:t>
      </w:r>
      <w:r w:rsidR="00AD245F" w:rsidRPr="00973BEF">
        <w:rPr>
          <w:rFonts w:ascii="Arial" w:eastAsia="Times New Roman" w:hAnsi="Arial" w:cs="Arial"/>
          <w:sz w:val="22"/>
          <w:szCs w:val="22"/>
          <w:lang w:eastAsia="en-AU"/>
        </w:rPr>
        <w:t>in</w:t>
      </w:r>
      <w:r w:rsidR="0009328B" w:rsidRPr="00973BEF">
        <w:rPr>
          <w:rFonts w:ascii="Arial" w:eastAsia="Times New Roman" w:hAnsi="Arial" w:cs="Arial"/>
          <w:sz w:val="22"/>
          <w:szCs w:val="22"/>
          <w:lang w:eastAsia="en-AU"/>
        </w:rPr>
        <w:t xml:space="preserve"> Centuria LifeGoals</w:t>
      </w:r>
      <w:r w:rsidR="00D73121" w:rsidRPr="00973BEF">
        <w:rPr>
          <w:rFonts w:ascii="Arial" w:eastAsia="Times New Roman" w:hAnsi="Arial" w:cs="Arial"/>
          <w:sz w:val="22"/>
          <w:szCs w:val="22"/>
          <w:lang w:eastAsia="en-AU"/>
        </w:rPr>
        <w:t xml:space="preserve"> </w:t>
      </w:r>
      <w:r w:rsidR="00D73121" w:rsidRPr="00973BEF">
        <w:rPr>
          <w:rFonts w:ascii="Arial" w:eastAsia="Times New Roman" w:hAnsi="Arial" w:cs="Arial"/>
          <w:bCs/>
          <w:sz w:val="22"/>
          <w:szCs w:val="22"/>
          <w:lang w:val="en-AU" w:eastAsia="en-AU"/>
        </w:rPr>
        <w:t>and LifeGoals Child Plan (Centuria LifeGoals)</w:t>
      </w:r>
      <w:r w:rsidR="0009328B" w:rsidRPr="00973BEF">
        <w:rPr>
          <w:rFonts w:ascii="Arial" w:eastAsia="Times New Roman" w:hAnsi="Arial" w:cs="Arial"/>
          <w:sz w:val="22"/>
          <w:szCs w:val="22"/>
          <w:lang w:eastAsia="en-AU"/>
        </w:rPr>
        <w:t xml:space="preserve"> </w:t>
      </w:r>
      <w:r w:rsidR="00AD245F" w:rsidRPr="00973BEF">
        <w:rPr>
          <w:rFonts w:ascii="Arial" w:eastAsia="Times New Roman" w:hAnsi="Arial" w:cs="Arial"/>
          <w:sz w:val="22"/>
          <w:szCs w:val="22"/>
          <w:lang w:eastAsia="en-AU"/>
        </w:rPr>
        <w:t>across</w:t>
      </w:r>
      <w:r w:rsidR="0009328B" w:rsidRPr="00973BEF">
        <w:rPr>
          <w:rFonts w:ascii="Arial" w:eastAsia="Times New Roman" w:hAnsi="Arial" w:cs="Arial"/>
          <w:sz w:val="22"/>
          <w:szCs w:val="22"/>
          <w:lang w:eastAsia="en-AU"/>
        </w:rPr>
        <w:t xml:space="preserve"> the </w:t>
      </w:r>
      <w:r w:rsidR="00AD245F" w:rsidRPr="00973BEF">
        <w:rPr>
          <w:rFonts w:ascii="Arial" w:eastAsia="Times New Roman" w:hAnsi="Arial" w:cs="Arial"/>
          <w:sz w:val="22"/>
          <w:szCs w:val="22"/>
          <w:lang w:eastAsia="en-AU"/>
        </w:rPr>
        <w:t xml:space="preserve">selected </w:t>
      </w:r>
      <w:r w:rsidR="0009328B" w:rsidRPr="00973BEF">
        <w:rPr>
          <w:rFonts w:ascii="Arial" w:eastAsia="Times New Roman" w:hAnsi="Arial" w:cs="Arial"/>
          <w:sz w:val="22"/>
          <w:szCs w:val="22"/>
          <w:lang w:eastAsia="en-AU"/>
        </w:rPr>
        <w:t>investment options</w:t>
      </w:r>
      <w:bookmarkEnd w:id="4"/>
      <w:r w:rsidR="00AD245F" w:rsidRPr="00973BEF">
        <w:rPr>
          <w:rFonts w:ascii="Arial" w:eastAsia="Times New Roman" w:hAnsi="Arial" w:cs="Arial"/>
          <w:sz w:val="22"/>
          <w:szCs w:val="22"/>
          <w:lang w:eastAsia="en-AU"/>
        </w:rPr>
        <w:t>.</w:t>
      </w:r>
    </w:p>
    <w:p w14:paraId="06CDB732" w14:textId="77777777" w:rsidR="00AD245F" w:rsidRPr="00973BEF" w:rsidRDefault="00AD245F" w:rsidP="00973BEF">
      <w:pPr>
        <w:rPr>
          <w:rFonts w:ascii="Arial" w:eastAsia="Times New Roman" w:hAnsi="Arial" w:cs="Arial"/>
          <w:sz w:val="22"/>
          <w:szCs w:val="22"/>
          <w:lang w:eastAsia="en-AU"/>
        </w:rPr>
      </w:pPr>
    </w:p>
    <w:p w14:paraId="312022D1"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You do not require advice on any other matters including, but not limited to your:</w:t>
      </w:r>
    </w:p>
    <w:p w14:paraId="38E4864A" w14:textId="77777777" w:rsidR="00994F39" w:rsidRPr="00973BEF" w:rsidRDefault="00994F39" w:rsidP="00973BEF">
      <w:pPr>
        <w:rPr>
          <w:rFonts w:ascii="Arial" w:eastAsia="Times New Roman" w:hAnsi="Arial" w:cs="Arial"/>
          <w:sz w:val="22"/>
          <w:szCs w:val="22"/>
          <w:lang w:eastAsia="en-AU"/>
        </w:rPr>
      </w:pPr>
    </w:p>
    <w:p w14:paraId="3200A0F9" w14:textId="49CF6B84" w:rsidR="00994F39" w:rsidRPr="00973BEF" w:rsidRDefault="00994F39" w:rsidP="00973BEF">
      <w:pPr>
        <w:widowControl w:val="0"/>
        <w:adjustRightInd w:val="0"/>
        <w:ind w:left="357" w:hanging="357"/>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Existing personal insurance </w:t>
      </w:r>
      <w:proofErr w:type="gramStart"/>
      <w:r w:rsidRPr="00973BEF">
        <w:rPr>
          <w:rFonts w:ascii="Arial" w:eastAsia="Times New Roman" w:hAnsi="Arial" w:cs="Arial"/>
          <w:sz w:val="22"/>
          <w:szCs w:val="22"/>
          <w:lang w:eastAsia="en-AU"/>
        </w:rPr>
        <w:t>cover;</w:t>
      </w:r>
      <w:proofErr w:type="gramEnd"/>
    </w:p>
    <w:p w14:paraId="2DBA7BB0" w14:textId="77777777" w:rsidR="00AD245F" w:rsidRPr="00973BEF" w:rsidRDefault="00AD245F" w:rsidP="00973BEF">
      <w:pPr>
        <w:widowControl w:val="0"/>
        <w:adjustRightInd w:val="0"/>
        <w:ind w:left="357" w:hanging="357"/>
        <w:rPr>
          <w:rFonts w:ascii="Arial" w:eastAsia="Times New Roman" w:hAnsi="Arial" w:cs="Arial"/>
          <w:sz w:val="22"/>
          <w:szCs w:val="22"/>
          <w:lang w:eastAsia="en-AU"/>
        </w:rPr>
      </w:pPr>
    </w:p>
    <w:p w14:paraId="5D2C2CFF"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Other insurance such as health, business, fire and general or property</w:t>
      </w:r>
    </w:p>
    <w:p w14:paraId="02C729DA"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Cash flow and debt reduction </w:t>
      </w:r>
      <w:proofErr w:type="gramStart"/>
      <w:r w:rsidRPr="00973BEF">
        <w:rPr>
          <w:rFonts w:ascii="Arial" w:eastAsia="Times New Roman" w:hAnsi="Arial" w:cs="Arial"/>
          <w:sz w:val="22"/>
          <w:szCs w:val="22"/>
          <w:lang w:eastAsia="en-AU"/>
        </w:rPr>
        <w:t>management;</w:t>
      </w:r>
      <w:proofErr w:type="gramEnd"/>
    </w:p>
    <w:p w14:paraId="2D9D434C"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Available superannuation </w:t>
      </w:r>
      <w:proofErr w:type="gramStart"/>
      <w:r w:rsidRPr="00973BEF">
        <w:rPr>
          <w:rFonts w:ascii="Arial" w:eastAsia="Times New Roman" w:hAnsi="Arial" w:cs="Arial"/>
          <w:sz w:val="22"/>
          <w:szCs w:val="22"/>
          <w:lang w:eastAsia="en-AU"/>
        </w:rPr>
        <w:t>strategies;</w:t>
      </w:r>
      <w:proofErr w:type="gramEnd"/>
      <w:r w:rsidRPr="00973BEF">
        <w:rPr>
          <w:rFonts w:ascii="Arial" w:eastAsia="Times New Roman" w:hAnsi="Arial" w:cs="Arial"/>
          <w:sz w:val="22"/>
          <w:szCs w:val="22"/>
          <w:lang w:eastAsia="en-AU"/>
        </w:rPr>
        <w:t xml:space="preserve"> </w:t>
      </w:r>
    </w:p>
    <w:p w14:paraId="052B8FCF"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Retirement planning.</w:t>
      </w:r>
    </w:p>
    <w:p w14:paraId="7338B078" w14:textId="77777777" w:rsidR="00994F39" w:rsidRPr="00973BEF" w:rsidRDefault="00994F39" w:rsidP="00973BEF">
      <w:pPr>
        <w:widowControl w:val="0"/>
        <w:adjustRightInd w:val="0"/>
        <w:ind w:left="357"/>
        <w:rPr>
          <w:rFonts w:ascii="Arial" w:eastAsia="Times New Roman" w:hAnsi="Arial" w:cs="Arial"/>
        </w:rPr>
      </w:pPr>
    </w:p>
    <w:bookmarkEnd w:id="2"/>
    <w:bookmarkEnd w:id="3"/>
    <w:p w14:paraId="60D6D53E"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b/>
          <w:lang w:eastAsia="en-AU"/>
        </w:rPr>
        <w:t>Limited Advice Warning:</w:t>
      </w:r>
      <w:r w:rsidRPr="00973BEF">
        <w:rPr>
          <w:rFonts w:ascii="Arial" w:eastAsia="Times New Roman" w:hAnsi="Arial" w:cs="Arial"/>
          <w:lang w:eastAsia="en-AU"/>
        </w:rPr>
        <w:t xml:space="preserve"> </w:t>
      </w:r>
      <w:r w:rsidRPr="00973BEF">
        <w:rPr>
          <w:rFonts w:ascii="Arial" w:eastAsia="Times New Roman" w:hAnsi="Arial" w:cs="Arial"/>
          <w:sz w:val="22"/>
          <w:szCs w:val="22"/>
          <w:lang w:eastAsia="en-AU"/>
        </w:rPr>
        <w:t>We have not collected full details of your overall financial situation prior to writing this advice.  The advice in this document is therefore based on a limited set of information.  Because of that, you should, before acting on the advice, consider the appropriateness of the advice having regard to your relevant personal circumstances.</w:t>
      </w:r>
    </w:p>
    <w:p w14:paraId="2CBF89DC" w14:textId="77777777" w:rsidR="00994F39" w:rsidRPr="00973BEF" w:rsidRDefault="00994F39" w:rsidP="00973BEF">
      <w:pPr>
        <w:rPr>
          <w:rFonts w:ascii="Arial" w:eastAsia="Times New Roman" w:hAnsi="Arial" w:cs="Arial"/>
          <w:sz w:val="22"/>
          <w:szCs w:val="22"/>
          <w:lang w:eastAsia="en-AU"/>
        </w:rPr>
      </w:pPr>
    </w:p>
    <w:p w14:paraId="4B188AB2" w14:textId="083036A5"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Our recommendations are designed to meet your </w:t>
      </w:r>
      <w:r w:rsidR="00F948A2" w:rsidRPr="00973BEF">
        <w:rPr>
          <w:rFonts w:ascii="Arial" w:eastAsia="Times New Roman" w:hAnsi="Arial" w:cs="Arial"/>
          <w:sz w:val="22"/>
          <w:szCs w:val="22"/>
          <w:lang w:eastAsia="en-AU"/>
        </w:rPr>
        <w:t>short- and long-term</w:t>
      </w:r>
      <w:r w:rsidRPr="00973BEF">
        <w:rPr>
          <w:rFonts w:ascii="Arial" w:eastAsia="Times New Roman" w:hAnsi="Arial" w:cs="Arial"/>
          <w:sz w:val="22"/>
          <w:szCs w:val="22"/>
          <w:lang w:eastAsia="en-AU"/>
        </w:rPr>
        <w:t xml:space="preserve"> objectives, summarised as follows:</w:t>
      </w:r>
    </w:p>
    <w:p w14:paraId="078DBD56" w14:textId="77777777" w:rsidR="00994F39" w:rsidRPr="00973BEF" w:rsidRDefault="00994F39" w:rsidP="00973BEF">
      <w:pPr>
        <w:rPr>
          <w:rFonts w:ascii="Arial" w:eastAsia="Times New Roman" w:hAnsi="Arial" w:cs="Arial"/>
          <w:sz w:val="22"/>
          <w:szCs w:val="22"/>
          <w:lang w:eastAsia="en-AU"/>
        </w:rPr>
      </w:pPr>
    </w:p>
    <w:p w14:paraId="63A54A95" w14:textId="77777777" w:rsidR="00994F39" w:rsidRPr="00973BEF" w:rsidRDefault="00994F39" w:rsidP="00973BEF">
      <w:pPr>
        <w:pStyle w:val="ListParagraph"/>
        <w:widowControl w:val="0"/>
        <w:numPr>
          <w:ilvl w:val="0"/>
          <w:numId w:val="16"/>
        </w:numPr>
        <w:adjustRightInd w:val="0"/>
        <w:rPr>
          <w:rFonts w:ascii="Arial" w:hAnsi="Arial" w:cs="Arial"/>
          <w:sz w:val="22"/>
          <w:szCs w:val="22"/>
        </w:rPr>
      </w:pPr>
      <w:r w:rsidRPr="00973BEF">
        <w:rPr>
          <w:rFonts w:ascii="Arial" w:hAnsi="Arial" w:cs="Arial"/>
          <w:sz w:val="22"/>
          <w:szCs w:val="22"/>
        </w:rPr>
        <w:t>Invest in a portfolio in accordance with your agreed risk profile.</w:t>
      </w:r>
    </w:p>
    <w:p w14:paraId="572B14C3" w14:textId="77777777" w:rsidR="00994F39" w:rsidRPr="00973BEF" w:rsidRDefault="00994F39" w:rsidP="00973BEF">
      <w:pPr>
        <w:widowControl w:val="0"/>
        <w:adjustRightInd w:val="0"/>
        <w:ind w:left="357"/>
        <w:rPr>
          <w:rFonts w:ascii="Arial" w:hAnsi="Arial" w:cs="Arial"/>
          <w:sz w:val="22"/>
          <w:szCs w:val="22"/>
        </w:rPr>
      </w:pPr>
    </w:p>
    <w:p w14:paraId="2AC8667E" w14:textId="0E2FA0E2" w:rsidR="00994F39" w:rsidRPr="00973BEF" w:rsidRDefault="00994F39" w:rsidP="00973BEF">
      <w:pPr>
        <w:pStyle w:val="ListParagraph"/>
        <w:numPr>
          <w:ilvl w:val="0"/>
          <w:numId w:val="16"/>
        </w:num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To achieve your desired goals and objectives, we recommend </w:t>
      </w:r>
      <w:r w:rsidR="00845909" w:rsidRPr="00973BEF">
        <w:rPr>
          <w:rFonts w:ascii="Arial" w:eastAsia="Times New Roman" w:hAnsi="Arial" w:cs="Arial"/>
          <w:sz w:val="22"/>
          <w:szCs w:val="22"/>
          <w:lang w:eastAsia="en-AU"/>
        </w:rPr>
        <w:t>that</w:t>
      </w:r>
      <w:r w:rsidR="00AD245F" w:rsidRPr="00973BEF">
        <w:rPr>
          <w:rFonts w:ascii="Arial" w:eastAsia="Times New Roman" w:hAnsi="Arial" w:cs="Arial"/>
          <w:sz w:val="22"/>
          <w:szCs w:val="22"/>
          <w:lang w:eastAsia="en-AU"/>
        </w:rPr>
        <w:t xml:space="preserve"> you invest in Centuria LifeGoals. </w:t>
      </w:r>
    </w:p>
    <w:p w14:paraId="4C1D1857" w14:textId="171DF144" w:rsidR="00AD245F" w:rsidRPr="00973BEF" w:rsidRDefault="00AD245F"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br w:type="page"/>
      </w:r>
    </w:p>
    <w:p w14:paraId="72BD7E10" w14:textId="77777777" w:rsidR="00AD245F" w:rsidRPr="00973BEF" w:rsidRDefault="00AD245F" w:rsidP="00973BEF">
      <w:pPr>
        <w:rPr>
          <w:rFonts w:ascii="Arial" w:eastAsia="Times New Roman" w:hAnsi="Arial" w:cs="Arial"/>
          <w:lang w:eastAsia="en-AU"/>
        </w:rPr>
      </w:pPr>
    </w:p>
    <w:p w14:paraId="317BA8A2" w14:textId="77777777" w:rsidR="00432B50" w:rsidRPr="00973BEF" w:rsidRDefault="00432B50" w:rsidP="00973BEF">
      <w:pPr>
        <w:rPr>
          <w:rFonts w:ascii="Arial" w:eastAsia="Times New Roman" w:hAnsi="Arial" w:cs="Arial"/>
          <w:b/>
          <w:u w:val="single"/>
          <w:lang w:eastAsia="en-AU"/>
        </w:rPr>
      </w:pPr>
    </w:p>
    <w:p w14:paraId="1C14979D" w14:textId="04E071D5" w:rsidR="00994F39" w:rsidRPr="00973BEF" w:rsidRDefault="00994F39" w:rsidP="00973BEF">
      <w:pPr>
        <w:rPr>
          <w:rFonts w:ascii="Arial" w:eastAsia="Times New Roman" w:hAnsi="Arial" w:cs="Arial"/>
          <w:b/>
          <w:u w:val="single"/>
          <w:lang w:eastAsia="en-AU"/>
        </w:rPr>
      </w:pPr>
      <w:r w:rsidRPr="00973BEF">
        <w:rPr>
          <w:rFonts w:ascii="Arial" w:eastAsia="Times New Roman" w:hAnsi="Arial" w:cs="Arial"/>
          <w:b/>
          <w:u w:val="single"/>
          <w:lang w:eastAsia="en-AU"/>
        </w:rPr>
        <w:t>Recommendations</w:t>
      </w:r>
    </w:p>
    <w:p w14:paraId="5D092159" w14:textId="77777777" w:rsidR="00994F39" w:rsidRPr="00973BEF" w:rsidRDefault="00994F39" w:rsidP="00973BEF">
      <w:pPr>
        <w:rPr>
          <w:rFonts w:ascii="Arial" w:eastAsia="Times New Roman" w:hAnsi="Arial" w:cs="Arial"/>
          <w:lang w:eastAsia="en-AU"/>
        </w:rPr>
      </w:pPr>
    </w:p>
    <w:p w14:paraId="188BF4FA" w14:textId="543BC1C3" w:rsidR="00AD245F"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Following our review of your current investments and asset allocation, we recommend you invest $</w:t>
      </w:r>
      <w:r w:rsidR="001C3FD2" w:rsidRPr="00973BEF">
        <w:rPr>
          <w:rFonts w:ascii="Arial" w:eastAsia="Times New Roman" w:hAnsi="Arial" w:cs="Arial"/>
          <w:b/>
          <w:bCs/>
          <w:color w:val="FF0000"/>
          <w:sz w:val="22"/>
          <w:szCs w:val="22"/>
          <w:lang w:eastAsia="en-AU"/>
        </w:rPr>
        <w:t>X</w:t>
      </w:r>
      <w:r w:rsidRPr="00973BEF">
        <w:rPr>
          <w:rFonts w:ascii="Arial" w:eastAsia="Times New Roman" w:hAnsi="Arial" w:cs="Arial"/>
          <w:b/>
          <w:color w:val="FF0000"/>
          <w:sz w:val="22"/>
          <w:szCs w:val="22"/>
          <w:lang w:eastAsia="en-AU"/>
        </w:rPr>
        <w:t>X</w:t>
      </w:r>
      <w:r w:rsidRPr="00973BEF">
        <w:rPr>
          <w:rFonts w:ascii="Arial" w:eastAsia="Times New Roman" w:hAnsi="Arial" w:cs="Arial"/>
          <w:b/>
          <w:sz w:val="22"/>
          <w:szCs w:val="22"/>
          <w:lang w:eastAsia="en-AU"/>
        </w:rPr>
        <w:t xml:space="preserve"> </w:t>
      </w:r>
      <w:r w:rsidRPr="00973BEF">
        <w:rPr>
          <w:rFonts w:ascii="Arial" w:eastAsia="Times New Roman" w:hAnsi="Arial" w:cs="Arial"/>
          <w:sz w:val="22"/>
          <w:szCs w:val="22"/>
          <w:lang w:eastAsia="en-AU"/>
        </w:rPr>
        <w:t>in the Centuria</w:t>
      </w:r>
      <w:r w:rsidR="00432B50" w:rsidRPr="00973BEF">
        <w:rPr>
          <w:rFonts w:ascii="Arial" w:eastAsia="Times New Roman" w:hAnsi="Arial" w:cs="Arial"/>
          <w:sz w:val="22"/>
          <w:szCs w:val="22"/>
          <w:lang w:eastAsia="en-AU"/>
        </w:rPr>
        <w:t xml:space="preserve"> LifeGoals </w:t>
      </w:r>
      <w:r w:rsidR="00845909" w:rsidRPr="00973BEF">
        <w:rPr>
          <w:rFonts w:ascii="Arial" w:eastAsia="Times New Roman" w:hAnsi="Arial" w:cs="Arial"/>
          <w:sz w:val="22"/>
          <w:szCs w:val="22"/>
          <w:lang w:eastAsia="en-AU"/>
        </w:rPr>
        <w:t>I</w:t>
      </w:r>
      <w:r w:rsidR="00432B50" w:rsidRPr="00973BEF">
        <w:rPr>
          <w:rFonts w:ascii="Arial" w:eastAsia="Times New Roman" w:hAnsi="Arial" w:cs="Arial"/>
          <w:sz w:val="22"/>
          <w:szCs w:val="22"/>
          <w:lang w:eastAsia="en-AU"/>
        </w:rPr>
        <w:t>nvestment Bond</w:t>
      </w:r>
      <w:r w:rsidR="00845909" w:rsidRPr="00973BEF">
        <w:rPr>
          <w:rFonts w:ascii="Arial" w:eastAsia="Times New Roman" w:hAnsi="Arial" w:cs="Arial"/>
          <w:sz w:val="22"/>
          <w:szCs w:val="22"/>
          <w:lang w:eastAsia="en-AU"/>
        </w:rPr>
        <w:t>s product</w:t>
      </w:r>
      <w:r w:rsidR="00AD245F" w:rsidRPr="00973BEF">
        <w:rPr>
          <w:rFonts w:ascii="Arial" w:eastAsia="Times New Roman" w:hAnsi="Arial" w:cs="Arial"/>
          <w:sz w:val="22"/>
          <w:szCs w:val="22"/>
          <w:lang w:eastAsia="en-AU"/>
        </w:rPr>
        <w:t xml:space="preserve"> across the following investment options</w:t>
      </w:r>
      <w:r w:rsidR="00E437B5" w:rsidRPr="00973BEF">
        <w:rPr>
          <w:rFonts w:ascii="Arial" w:eastAsia="Times New Roman" w:hAnsi="Arial" w:cs="Arial"/>
          <w:sz w:val="22"/>
          <w:szCs w:val="22"/>
          <w:lang w:eastAsia="en-AU"/>
        </w:rPr>
        <w:t>.</w:t>
      </w:r>
      <w:r w:rsidRPr="00973BEF">
        <w:rPr>
          <w:rFonts w:ascii="Arial" w:eastAsia="Times New Roman" w:hAnsi="Arial" w:cs="Arial"/>
          <w:sz w:val="22"/>
          <w:szCs w:val="22"/>
          <w:lang w:eastAsia="en-AU"/>
        </w:rPr>
        <w:t xml:space="preserve">      </w:t>
      </w:r>
    </w:p>
    <w:p w14:paraId="4C41E61F" w14:textId="77777777" w:rsidR="00AD245F"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  </w:t>
      </w:r>
    </w:p>
    <w:tbl>
      <w:tblPr>
        <w:tblStyle w:val="TableGrid"/>
        <w:tblW w:w="0" w:type="auto"/>
        <w:tblLook w:val="0000" w:firstRow="0" w:lastRow="0" w:firstColumn="0" w:lastColumn="0" w:noHBand="0" w:noVBand="0"/>
      </w:tblPr>
      <w:tblGrid>
        <w:gridCol w:w="4248"/>
        <w:gridCol w:w="1984"/>
        <w:gridCol w:w="2058"/>
      </w:tblGrid>
      <w:tr w:rsidR="00AD245F" w:rsidRPr="00973BEF" w14:paraId="2759D616" w14:textId="77777777" w:rsidTr="004E6748">
        <w:tc>
          <w:tcPr>
            <w:tcW w:w="4248" w:type="dxa"/>
          </w:tcPr>
          <w:p w14:paraId="17262229"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Name of Fund</w:t>
            </w:r>
          </w:p>
        </w:tc>
        <w:tc>
          <w:tcPr>
            <w:tcW w:w="1984" w:type="dxa"/>
          </w:tcPr>
          <w:p w14:paraId="2CF92BC7"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 invested</w:t>
            </w:r>
          </w:p>
        </w:tc>
        <w:tc>
          <w:tcPr>
            <w:tcW w:w="2058" w:type="dxa"/>
          </w:tcPr>
          <w:p w14:paraId="6E114390"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 invested</w:t>
            </w:r>
          </w:p>
        </w:tc>
      </w:tr>
      <w:tr w:rsidR="00AD245F" w:rsidRPr="00973BEF" w14:paraId="1C9B6623" w14:textId="77777777" w:rsidTr="004E6748">
        <w:tc>
          <w:tcPr>
            <w:tcW w:w="4248" w:type="dxa"/>
          </w:tcPr>
          <w:p w14:paraId="3C76DDB0" w14:textId="15654203"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F316A9" w:rsidRPr="00973BEF">
              <w:rPr>
                <w:rFonts w:ascii="Arial" w:hAnsi="Arial" w:cs="Arial"/>
                <w:color w:val="000000"/>
                <w:sz w:val="22"/>
                <w:szCs w:val="22"/>
                <w:lang w:val="en-AU"/>
              </w:rPr>
              <w:t>Pendal Short Term Income Securities</w:t>
            </w:r>
            <w:r w:rsidR="00A83B2C" w:rsidRPr="00973BEF">
              <w:rPr>
                <w:rFonts w:ascii="Arial" w:hAnsi="Arial" w:cs="Arial"/>
                <w:color w:val="000000"/>
                <w:sz w:val="22"/>
                <w:szCs w:val="22"/>
                <w:lang w:val="en-AU"/>
              </w:rPr>
              <w:t xml:space="preserve"> Fund</w:t>
            </w:r>
          </w:p>
        </w:tc>
        <w:tc>
          <w:tcPr>
            <w:tcW w:w="1984" w:type="dxa"/>
          </w:tcPr>
          <w:p w14:paraId="37237EA8" w14:textId="77777777" w:rsidR="00AD245F" w:rsidRPr="00973BEF" w:rsidRDefault="00AD245F" w:rsidP="00973BEF">
            <w:pPr>
              <w:rPr>
                <w:rFonts w:ascii="Arial" w:eastAsia="Times New Roman" w:hAnsi="Arial" w:cs="Arial"/>
                <w:lang w:eastAsia="en-AU"/>
              </w:rPr>
            </w:pPr>
          </w:p>
        </w:tc>
        <w:tc>
          <w:tcPr>
            <w:tcW w:w="2058" w:type="dxa"/>
          </w:tcPr>
          <w:p w14:paraId="67BEC513" w14:textId="77777777" w:rsidR="00AD245F" w:rsidRPr="00973BEF" w:rsidRDefault="00AD245F" w:rsidP="00973BEF">
            <w:pPr>
              <w:rPr>
                <w:rFonts w:ascii="Arial" w:eastAsia="Times New Roman" w:hAnsi="Arial" w:cs="Arial"/>
                <w:lang w:eastAsia="en-AU"/>
              </w:rPr>
            </w:pPr>
          </w:p>
        </w:tc>
      </w:tr>
      <w:tr w:rsidR="00AD245F" w:rsidRPr="00973BEF" w14:paraId="7C7A352E" w14:textId="77777777" w:rsidTr="004E6748">
        <w:tc>
          <w:tcPr>
            <w:tcW w:w="4248" w:type="dxa"/>
          </w:tcPr>
          <w:p w14:paraId="10AA0657" w14:textId="57C46C52" w:rsidR="00AD245F" w:rsidRPr="00973BEF" w:rsidRDefault="00116FEA"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Australian Fixed Interest Index Fund</w:t>
            </w:r>
          </w:p>
        </w:tc>
        <w:tc>
          <w:tcPr>
            <w:tcW w:w="1984" w:type="dxa"/>
          </w:tcPr>
          <w:p w14:paraId="65C1DEDE" w14:textId="77777777" w:rsidR="00AD245F" w:rsidRPr="00973BEF" w:rsidRDefault="00AD245F" w:rsidP="00973BEF">
            <w:pPr>
              <w:rPr>
                <w:rFonts w:ascii="Arial" w:hAnsi="Arial" w:cs="Arial"/>
                <w:color w:val="000000"/>
                <w:sz w:val="22"/>
                <w:szCs w:val="22"/>
                <w:lang w:val="en-AU"/>
              </w:rPr>
            </w:pPr>
          </w:p>
        </w:tc>
        <w:tc>
          <w:tcPr>
            <w:tcW w:w="2058" w:type="dxa"/>
          </w:tcPr>
          <w:p w14:paraId="598FCB61" w14:textId="77777777" w:rsidR="00AD245F" w:rsidRPr="00973BEF" w:rsidRDefault="00AD245F" w:rsidP="00973BEF">
            <w:pPr>
              <w:rPr>
                <w:rFonts w:ascii="Arial" w:hAnsi="Arial" w:cs="Arial"/>
                <w:color w:val="000000"/>
                <w:sz w:val="22"/>
                <w:szCs w:val="22"/>
                <w:lang w:val="en-AU"/>
              </w:rPr>
            </w:pPr>
          </w:p>
        </w:tc>
      </w:tr>
      <w:tr w:rsidR="00AD245F" w:rsidRPr="00973BEF" w14:paraId="18BFFDE2" w14:textId="77777777" w:rsidTr="004E6748">
        <w:tc>
          <w:tcPr>
            <w:tcW w:w="4248" w:type="dxa"/>
          </w:tcPr>
          <w:p w14:paraId="775729F5" w14:textId="466AB63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BetaShares Australian Investment Grade Corporate Bond ETF</w:t>
            </w:r>
          </w:p>
        </w:tc>
        <w:tc>
          <w:tcPr>
            <w:tcW w:w="1984" w:type="dxa"/>
          </w:tcPr>
          <w:p w14:paraId="65F18CC5" w14:textId="77777777" w:rsidR="00AD245F" w:rsidRPr="00973BEF" w:rsidRDefault="00AD245F" w:rsidP="00973BEF">
            <w:pPr>
              <w:rPr>
                <w:rFonts w:ascii="Arial" w:eastAsia="Times New Roman" w:hAnsi="Arial" w:cs="Arial"/>
                <w:lang w:eastAsia="en-AU"/>
              </w:rPr>
            </w:pPr>
          </w:p>
        </w:tc>
        <w:tc>
          <w:tcPr>
            <w:tcW w:w="2058" w:type="dxa"/>
          </w:tcPr>
          <w:p w14:paraId="7EB249A3" w14:textId="77777777" w:rsidR="00AD245F" w:rsidRPr="00973BEF" w:rsidRDefault="00AD245F" w:rsidP="00973BEF">
            <w:pPr>
              <w:rPr>
                <w:rFonts w:ascii="Arial" w:eastAsia="Times New Roman" w:hAnsi="Arial" w:cs="Arial"/>
                <w:lang w:eastAsia="en-AU"/>
              </w:rPr>
            </w:pPr>
          </w:p>
        </w:tc>
      </w:tr>
      <w:tr w:rsidR="00AD245F" w:rsidRPr="00973BEF" w14:paraId="1092FC83" w14:textId="77777777" w:rsidTr="004E6748">
        <w:tc>
          <w:tcPr>
            <w:tcW w:w="4248" w:type="dxa"/>
          </w:tcPr>
          <w:p w14:paraId="187B90C2" w14:textId="2F0E32C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Australian Property Securities Index Fund</w:t>
            </w:r>
          </w:p>
        </w:tc>
        <w:tc>
          <w:tcPr>
            <w:tcW w:w="1984" w:type="dxa"/>
          </w:tcPr>
          <w:p w14:paraId="576D2B28" w14:textId="77777777" w:rsidR="00AD245F" w:rsidRPr="00973BEF" w:rsidRDefault="00AD245F" w:rsidP="00973BEF">
            <w:pPr>
              <w:rPr>
                <w:rFonts w:ascii="Arial" w:eastAsia="Times New Roman" w:hAnsi="Arial" w:cs="Arial"/>
                <w:lang w:eastAsia="en-AU"/>
              </w:rPr>
            </w:pPr>
          </w:p>
        </w:tc>
        <w:tc>
          <w:tcPr>
            <w:tcW w:w="2058" w:type="dxa"/>
          </w:tcPr>
          <w:p w14:paraId="121D7EB7" w14:textId="77777777" w:rsidR="00AD245F" w:rsidRPr="00973BEF" w:rsidRDefault="00AD245F" w:rsidP="00973BEF">
            <w:pPr>
              <w:rPr>
                <w:rFonts w:ascii="Arial" w:eastAsia="Times New Roman" w:hAnsi="Arial" w:cs="Arial"/>
                <w:lang w:eastAsia="en-AU"/>
              </w:rPr>
            </w:pPr>
          </w:p>
        </w:tc>
      </w:tr>
      <w:tr w:rsidR="00AD245F" w:rsidRPr="00973BEF" w14:paraId="3F0A9887" w14:textId="77777777" w:rsidTr="004E6748">
        <w:tc>
          <w:tcPr>
            <w:tcW w:w="4248" w:type="dxa"/>
          </w:tcPr>
          <w:p w14:paraId="71EDF2BF" w14:textId="401F3BF1"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Diversified Balanced Index Fund</w:t>
            </w:r>
          </w:p>
        </w:tc>
        <w:tc>
          <w:tcPr>
            <w:tcW w:w="1984" w:type="dxa"/>
          </w:tcPr>
          <w:p w14:paraId="50867C53" w14:textId="77777777" w:rsidR="00AD245F" w:rsidRPr="00973BEF" w:rsidRDefault="00AD245F" w:rsidP="00973BEF">
            <w:pPr>
              <w:rPr>
                <w:rFonts w:ascii="Arial" w:eastAsia="Times New Roman" w:hAnsi="Arial" w:cs="Arial"/>
                <w:lang w:eastAsia="en-AU"/>
              </w:rPr>
            </w:pPr>
          </w:p>
        </w:tc>
        <w:tc>
          <w:tcPr>
            <w:tcW w:w="2058" w:type="dxa"/>
          </w:tcPr>
          <w:p w14:paraId="525C6E91" w14:textId="77777777" w:rsidR="00AD245F" w:rsidRPr="00973BEF" w:rsidRDefault="00AD245F" w:rsidP="00973BEF">
            <w:pPr>
              <w:rPr>
                <w:rFonts w:ascii="Arial" w:eastAsia="Times New Roman" w:hAnsi="Arial" w:cs="Arial"/>
                <w:lang w:eastAsia="en-AU"/>
              </w:rPr>
            </w:pPr>
          </w:p>
        </w:tc>
      </w:tr>
      <w:tr w:rsidR="00AD245F" w:rsidRPr="00973BEF" w14:paraId="1FA7D278" w14:textId="77777777" w:rsidTr="004E6748">
        <w:tc>
          <w:tcPr>
            <w:tcW w:w="4248" w:type="dxa"/>
          </w:tcPr>
          <w:p w14:paraId="148A4372" w14:textId="7C393744"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Russell Investments Balanced Fund</w:t>
            </w:r>
          </w:p>
        </w:tc>
        <w:tc>
          <w:tcPr>
            <w:tcW w:w="1984" w:type="dxa"/>
          </w:tcPr>
          <w:p w14:paraId="174A1C12" w14:textId="77777777" w:rsidR="00AD245F" w:rsidRPr="00973BEF" w:rsidRDefault="00AD245F" w:rsidP="00973BEF">
            <w:pPr>
              <w:rPr>
                <w:rFonts w:ascii="Arial" w:eastAsia="Times New Roman" w:hAnsi="Arial" w:cs="Arial"/>
                <w:lang w:eastAsia="en-AU"/>
              </w:rPr>
            </w:pPr>
          </w:p>
        </w:tc>
        <w:tc>
          <w:tcPr>
            <w:tcW w:w="2058" w:type="dxa"/>
          </w:tcPr>
          <w:p w14:paraId="1123A619" w14:textId="77777777" w:rsidR="00AD245F" w:rsidRPr="00973BEF" w:rsidRDefault="00AD245F" w:rsidP="00973BEF">
            <w:pPr>
              <w:rPr>
                <w:rFonts w:ascii="Arial" w:eastAsia="Times New Roman" w:hAnsi="Arial" w:cs="Arial"/>
                <w:lang w:eastAsia="en-AU"/>
              </w:rPr>
            </w:pPr>
          </w:p>
        </w:tc>
      </w:tr>
      <w:tr w:rsidR="00AD245F" w:rsidRPr="00973BEF" w14:paraId="684B1DB5" w14:textId="77777777" w:rsidTr="004E6748">
        <w:tc>
          <w:tcPr>
            <w:tcW w:w="4248" w:type="dxa"/>
          </w:tcPr>
          <w:p w14:paraId="044200B7" w14:textId="3A0A37E5"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MLC Wholesale Horizon 4 Balanced Portfolio</w:t>
            </w:r>
          </w:p>
        </w:tc>
        <w:tc>
          <w:tcPr>
            <w:tcW w:w="1984" w:type="dxa"/>
          </w:tcPr>
          <w:p w14:paraId="73222C04" w14:textId="77777777" w:rsidR="00AD245F" w:rsidRPr="00973BEF" w:rsidRDefault="00AD245F" w:rsidP="00973BEF">
            <w:pPr>
              <w:rPr>
                <w:rFonts w:ascii="Arial" w:eastAsia="Times New Roman" w:hAnsi="Arial" w:cs="Arial"/>
                <w:lang w:eastAsia="en-AU"/>
              </w:rPr>
            </w:pPr>
          </w:p>
        </w:tc>
        <w:tc>
          <w:tcPr>
            <w:tcW w:w="2058" w:type="dxa"/>
          </w:tcPr>
          <w:p w14:paraId="00FF96DC" w14:textId="77777777" w:rsidR="00AD245F" w:rsidRPr="00973BEF" w:rsidRDefault="00AD245F" w:rsidP="00973BEF">
            <w:pPr>
              <w:rPr>
                <w:rFonts w:ascii="Arial" w:eastAsia="Times New Roman" w:hAnsi="Arial" w:cs="Arial"/>
                <w:lang w:eastAsia="en-AU"/>
              </w:rPr>
            </w:pPr>
          </w:p>
        </w:tc>
      </w:tr>
      <w:tr w:rsidR="00E12FEC" w:rsidRPr="00973BEF" w14:paraId="7ECA85BA" w14:textId="77777777" w:rsidTr="004E6748">
        <w:tc>
          <w:tcPr>
            <w:tcW w:w="4248" w:type="dxa"/>
          </w:tcPr>
          <w:p w14:paraId="2765E5E1" w14:textId="71D71B55" w:rsidR="00E12FEC" w:rsidRPr="00973BEF" w:rsidRDefault="00E12FEC" w:rsidP="00973BEF">
            <w:pPr>
              <w:rPr>
                <w:rFonts w:ascii="Arial" w:hAnsi="Arial" w:cs="Arial"/>
                <w:color w:val="000000"/>
                <w:sz w:val="22"/>
                <w:szCs w:val="22"/>
                <w:lang w:val="en-AU"/>
              </w:rPr>
            </w:pPr>
            <w:r>
              <w:rPr>
                <w:rFonts w:ascii="Arial" w:hAnsi="Arial" w:cs="Arial"/>
                <w:color w:val="000000"/>
                <w:sz w:val="22"/>
                <w:szCs w:val="22"/>
                <w:lang w:val="en-AU"/>
              </w:rPr>
              <w:t>Centuria LifeGoals BlackRock Diversified ESG Growth Fund</w:t>
            </w:r>
          </w:p>
        </w:tc>
        <w:tc>
          <w:tcPr>
            <w:tcW w:w="1984" w:type="dxa"/>
          </w:tcPr>
          <w:p w14:paraId="0B30A13D" w14:textId="77777777" w:rsidR="00E12FEC" w:rsidRPr="00973BEF" w:rsidRDefault="00E12FEC" w:rsidP="00973BEF">
            <w:pPr>
              <w:rPr>
                <w:rFonts w:ascii="Arial" w:eastAsia="Times New Roman" w:hAnsi="Arial" w:cs="Arial"/>
                <w:lang w:eastAsia="en-AU"/>
              </w:rPr>
            </w:pPr>
          </w:p>
        </w:tc>
        <w:tc>
          <w:tcPr>
            <w:tcW w:w="2058" w:type="dxa"/>
          </w:tcPr>
          <w:p w14:paraId="63A652FC" w14:textId="77777777" w:rsidR="00E12FEC" w:rsidRPr="00973BEF" w:rsidRDefault="00E12FEC" w:rsidP="00973BEF">
            <w:pPr>
              <w:rPr>
                <w:rFonts w:ascii="Arial" w:eastAsia="Times New Roman" w:hAnsi="Arial" w:cs="Arial"/>
                <w:lang w:eastAsia="en-AU"/>
              </w:rPr>
            </w:pPr>
          </w:p>
        </w:tc>
      </w:tr>
      <w:tr w:rsidR="00AD245F" w:rsidRPr="00973BEF" w14:paraId="512B30AE" w14:textId="77777777" w:rsidTr="004E6748">
        <w:tc>
          <w:tcPr>
            <w:tcW w:w="4248" w:type="dxa"/>
          </w:tcPr>
          <w:p w14:paraId="24BF93E8" w14:textId="350F205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Diversified Growth Index Fund</w:t>
            </w:r>
          </w:p>
        </w:tc>
        <w:tc>
          <w:tcPr>
            <w:tcW w:w="1984" w:type="dxa"/>
          </w:tcPr>
          <w:p w14:paraId="6499E07A" w14:textId="77777777" w:rsidR="00AD245F" w:rsidRPr="00973BEF" w:rsidRDefault="00AD245F" w:rsidP="00973BEF">
            <w:pPr>
              <w:rPr>
                <w:rFonts w:ascii="Arial" w:eastAsia="Times New Roman" w:hAnsi="Arial" w:cs="Arial"/>
                <w:lang w:eastAsia="en-AU"/>
              </w:rPr>
            </w:pPr>
          </w:p>
        </w:tc>
        <w:tc>
          <w:tcPr>
            <w:tcW w:w="2058" w:type="dxa"/>
          </w:tcPr>
          <w:p w14:paraId="7E45A72C" w14:textId="77777777" w:rsidR="00AD245F" w:rsidRPr="00973BEF" w:rsidRDefault="00AD245F" w:rsidP="00973BEF">
            <w:pPr>
              <w:rPr>
                <w:rFonts w:ascii="Arial" w:eastAsia="Times New Roman" w:hAnsi="Arial" w:cs="Arial"/>
                <w:lang w:eastAsia="en-AU"/>
              </w:rPr>
            </w:pPr>
          </w:p>
        </w:tc>
      </w:tr>
      <w:tr w:rsidR="00677ACE" w:rsidRPr="00973BEF" w14:paraId="0D1B6702" w14:textId="77777777" w:rsidTr="004E6748">
        <w:tc>
          <w:tcPr>
            <w:tcW w:w="4248" w:type="dxa"/>
          </w:tcPr>
          <w:p w14:paraId="0360320F" w14:textId="514D9BE0" w:rsidR="00677ACE" w:rsidRPr="00973BEF" w:rsidRDefault="00677ACE" w:rsidP="00973BEF">
            <w:pPr>
              <w:rPr>
                <w:rFonts w:ascii="Arial" w:hAnsi="Arial" w:cs="Arial"/>
                <w:color w:val="000000"/>
                <w:sz w:val="22"/>
                <w:szCs w:val="22"/>
                <w:lang w:val="en-AU"/>
              </w:rPr>
            </w:pPr>
            <w:r w:rsidRPr="00DF6327">
              <w:rPr>
                <w:rFonts w:ascii="Arial" w:hAnsi="Arial" w:cs="Arial"/>
                <w:color w:val="000000"/>
                <w:sz w:val="22"/>
                <w:szCs w:val="22"/>
                <w:lang w:val="en-AU"/>
              </w:rPr>
              <w:t>Centuria LifeGoals Vanguard Diversified High Growth Index Fund</w:t>
            </w:r>
          </w:p>
        </w:tc>
        <w:tc>
          <w:tcPr>
            <w:tcW w:w="1984" w:type="dxa"/>
          </w:tcPr>
          <w:p w14:paraId="1C6D1EF3" w14:textId="77777777" w:rsidR="00677ACE" w:rsidRPr="00973BEF" w:rsidRDefault="00677ACE" w:rsidP="00973BEF">
            <w:pPr>
              <w:rPr>
                <w:rFonts w:ascii="Arial" w:eastAsia="Times New Roman" w:hAnsi="Arial" w:cs="Arial"/>
                <w:lang w:eastAsia="en-AU"/>
              </w:rPr>
            </w:pPr>
          </w:p>
        </w:tc>
        <w:tc>
          <w:tcPr>
            <w:tcW w:w="2058" w:type="dxa"/>
          </w:tcPr>
          <w:p w14:paraId="21491E48" w14:textId="77777777" w:rsidR="00677ACE" w:rsidRPr="00973BEF" w:rsidRDefault="00677ACE" w:rsidP="00973BEF">
            <w:pPr>
              <w:rPr>
                <w:rFonts w:ascii="Arial" w:eastAsia="Times New Roman" w:hAnsi="Arial" w:cs="Arial"/>
                <w:lang w:eastAsia="en-AU"/>
              </w:rPr>
            </w:pPr>
          </w:p>
        </w:tc>
      </w:tr>
      <w:tr w:rsidR="00AD245F" w:rsidRPr="00973BEF" w14:paraId="657EB83E" w14:textId="77777777" w:rsidTr="004E6748">
        <w:tc>
          <w:tcPr>
            <w:tcW w:w="4248" w:type="dxa"/>
          </w:tcPr>
          <w:p w14:paraId="00F75A0F" w14:textId="20585C6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Russell Investments Growth Fund</w:t>
            </w:r>
          </w:p>
        </w:tc>
        <w:tc>
          <w:tcPr>
            <w:tcW w:w="1984" w:type="dxa"/>
          </w:tcPr>
          <w:p w14:paraId="2C469292" w14:textId="77777777" w:rsidR="00AD245F" w:rsidRPr="00973BEF" w:rsidRDefault="00AD245F" w:rsidP="00973BEF">
            <w:pPr>
              <w:rPr>
                <w:rFonts w:ascii="Arial" w:eastAsia="Times New Roman" w:hAnsi="Arial" w:cs="Arial"/>
                <w:lang w:eastAsia="en-AU"/>
              </w:rPr>
            </w:pPr>
          </w:p>
        </w:tc>
        <w:tc>
          <w:tcPr>
            <w:tcW w:w="2058" w:type="dxa"/>
          </w:tcPr>
          <w:p w14:paraId="2A71A975" w14:textId="77777777" w:rsidR="00AD245F" w:rsidRPr="00973BEF" w:rsidRDefault="00AD245F" w:rsidP="00973BEF">
            <w:pPr>
              <w:rPr>
                <w:rFonts w:ascii="Arial" w:eastAsia="Times New Roman" w:hAnsi="Arial" w:cs="Arial"/>
                <w:lang w:eastAsia="en-AU"/>
              </w:rPr>
            </w:pPr>
          </w:p>
        </w:tc>
      </w:tr>
      <w:tr w:rsidR="00AD245F" w:rsidRPr="00973BEF" w14:paraId="559325A2" w14:textId="77777777" w:rsidTr="004E6748">
        <w:tc>
          <w:tcPr>
            <w:tcW w:w="4248" w:type="dxa"/>
          </w:tcPr>
          <w:p w14:paraId="496F16B3" w14:textId="78DDE17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MLC Wholesale Horizon 5 Growth Portfolio</w:t>
            </w:r>
          </w:p>
        </w:tc>
        <w:tc>
          <w:tcPr>
            <w:tcW w:w="1984" w:type="dxa"/>
          </w:tcPr>
          <w:p w14:paraId="45C6B009" w14:textId="77777777" w:rsidR="00AD245F" w:rsidRPr="00973BEF" w:rsidRDefault="00AD245F" w:rsidP="00973BEF">
            <w:pPr>
              <w:rPr>
                <w:rFonts w:ascii="Arial" w:eastAsia="Times New Roman" w:hAnsi="Arial" w:cs="Arial"/>
                <w:lang w:eastAsia="en-AU"/>
              </w:rPr>
            </w:pPr>
          </w:p>
        </w:tc>
        <w:tc>
          <w:tcPr>
            <w:tcW w:w="2058" w:type="dxa"/>
          </w:tcPr>
          <w:p w14:paraId="725C2F65" w14:textId="77777777" w:rsidR="00AD245F" w:rsidRPr="00973BEF" w:rsidRDefault="00AD245F" w:rsidP="00973BEF">
            <w:pPr>
              <w:rPr>
                <w:rFonts w:ascii="Arial" w:eastAsia="Times New Roman" w:hAnsi="Arial" w:cs="Arial"/>
                <w:lang w:eastAsia="en-AU"/>
              </w:rPr>
            </w:pPr>
          </w:p>
        </w:tc>
      </w:tr>
      <w:tr w:rsidR="00AD245F" w:rsidRPr="00973BEF" w14:paraId="479482FD" w14:textId="77777777" w:rsidTr="004E6748">
        <w:tc>
          <w:tcPr>
            <w:tcW w:w="4248" w:type="dxa"/>
          </w:tcPr>
          <w:p w14:paraId="0917A015" w14:textId="3F8D2BD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Schroder Real Return Fund</w:t>
            </w:r>
          </w:p>
        </w:tc>
        <w:tc>
          <w:tcPr>
            <w:tcW w:w="1984" w:type="dxa"/>
          </w:tcPr>
          <w:p w14:paraId="6A64EC24" w14:textId="77777777" w:rsidR="00AD245F" w:rsidRPr="00973BEF" w:rsidRDefault="00AD245F" w:rsidP="00973BEF">
            <w:pPr>
              <w:rPr>
                <w:rFonts w:ascii="Arial" w:eastAsia="Times New Roman" w:hAnsi="Arial" w:cs="Arial"/>
                <w:lang w:eastAsia="en-AU"/>
              </w:rPr>
            </w:pPr>
          </w:p>
        </w:tc>
        <w:tc>
          <w:tcPr>
            <w:tcW w:w="2058" w:type="dxa"/>
          </w:tcPr>
          <w:p w14:paraId="3CC408DB" w14:textId="77777777" w:rsidR="00AD245F" w:rsidRPr="00973BEF" w:rsidRDefault="00AD245F" w:rsidP="00973BEF">
            <w:pPr>
              <w:rPr>
                <w:rFonts w:ascii="Arial" w:eastAsia="Times New Roman" w:hAnsi="Arial" w:cs="Arial"/>
                <w:lang w:eastAsia="en-AU"/>
              </w:rPr>
            </w:pPr>
          </w:p>
        </w:tc>
      </w:tr>
      <w:tr w:rsidR="00AD245F" w:rsidRPr="00973BEF" w14:paraId="5C167129" w14:textId="77777777" w:rsidTr="004E6748">
        <w:tc>
          <w:tcPr>
            <w:tcW w:w="4248" w:type="dxa"/>
          </w:tcPr>
          <w:p w14:paraId="2771FE0D" w14:textId="173FA330"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Australian Shares Index Fund</w:t>
            </w:r>
          </w:p>
        </w:tc>
        <w:tc>
          <w:tcPr>
            <w:tcW w:w="1984" w:type="dxa"/>
          </w:tcPr>
          <w:p w14:paraId="5B2BFFE7" w14:textId="77777777" w:rsidR="00AD245F" w:rsidRPr="00973BEF" w:rsidRDefault="00AD245F" w:rsidP="00973BEF">
            <w:pPr>
              <w:rPr>
                <w:rFonts w:ascii="Arial" w:eastAsia="Times New Roman" w:hAnsi="Arial" w:cs="Arial"/>
                <w:lang w:eastAsia="en-AU"/>
              </w:rPr>
            </w:pPr>
          </w:p>
        </w:tc>
        <w:tc>
          <w:tcPr>
            <w:tcW w:w="2058" w:type="dxa"/>
          </w:tcPr>
          <w:p w14:paraId="42053030" w14:textId="77777777" w:rsidR="00AD245F" w:rsidRPr="00973BEF" w:rsidRDefault="00AD245F" w:rsidP="00973BEF">
            <w:pPr>
              <w:rPr>
                <w:rFonts w:ascii="Arial" w:eastAsia="Times New Roman" w:hAnsi="Arial" w:cs="Arial"/>
                <w:lang w:eastAsia="en-AU"/>
              </w:rPr>
            </w:pPr>
          </w:p>
        </w:tc>
      </w:tr>
      <w:tr w:rsidR="00AD245F" w:rsidRPr="00973BEF" w14:paraId="0FD6F1ED" w14:textId="77777777" w:rsidTr="004E6748">
        <w:tc>
          <w:tcPr>
            <w:tcW w:w="4248" w:type="dxa"/>
          </w:tcPr>
          <w:p w14:paraId="640015EC" w14:textId="41D3729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68104B" w:rsidRPr="00973BEF">
              <w:rPr>
                <w:rFonts w:ascii="Arial" w:hAnsi="Arial" w:cs="Arial"/>
                <w:color w:val="000000"/>
                <w:sz w:val="22"/>
                <w:szCs w:val="22"/>
                <w:lang w:val="en-AU"/>
              </w:rPr>
              <w:t>AB Managed</w:t>
            </w:r>
            <w:r w:rsidR="00AD245F" w:rsidRPr="00973BEF">
              <w:rPr>
                <w:rFonts w:ascii="Arial" w:hAnsi="Arial" w:cs="Arial"/>
                <w:color w:val="000000"/>
                <w:sz w:val="22"/>
                <w:szCs w:val="22"/>
                <w:lang w:val="en-AU"/>
              </w:rPr>
              <w:t xml:space="preserve"> Volatility Australian Equities Fund</w:t>
            </w:r>
          </w:p>
        </w:tc>
        <w:tc>
          <w:tcPr>
            <w:tcW w:w="1984" w:type="dxa"/>
          </w:tcPr>
          <w:p w14:paraId="7255EB61" w14:textId="77777777" w:rsidR="00AD245F" w:rsidRPr="00973BEF" w:rsidRDefault="00AD245F" w:rsidP="00973BEF">
            <w:pPr>
              <w:rPr>
                <w:rFonts w:ascii="Arial" w:eastAsia="Times New Roman" w:hAnsi="Arial" w:cs="Arial"/>
                <w:lang w:eastAsia="en-AU"/>
              </w:rPr>
            </w:pPr>
          </w:p>
        </w:tc>
        <w:tc>
          <w:tcPr>
            <w:tcW w:w="2058" w:type="dxa"/>
          </w:tcPr>
          <w:p w14:paraId="6533D09D" w14:textId="77777777" w:rsidR="00AD245F" w:rsidRPr="00973BEF" w:rsidRDefault="00AD245F" w:rsidP="00973BEF">
            <w:pPr>
              <w:rPr>
                <w:rFonts w:ascii="Arial" w:eastAsia="Times New Roman" w:hAnsi="Arial" w:cs="Arial"/>
                <w:lang w:eastAsia="en-AU"/>
              </w:rPr>
            </w:pPr>
          </w:p>
        </w:tc>
      </w:tr>
      <w:tr w:rsidR="00AD245F" w:rsidRPr="00973BEF" w14:paraId="7284DCBC" w14:textId="77777777" w:rsidTr="004E6748">
        <w:tc>
          <w:tcPr>
            <w:tcW w:w="4248" w:type="dxa"/>
          </w:tcPr>
          <w:p w14:paraId="440BD13D" w14:textId="4136132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Bennelong Concentrated Australian Equities Fund</w:t>
            </w:r>
          </w:p>
        </w:tc>
        <w:tc>
          <w:tcPr>
            <w:tcW w:w="1984" w:type="dxa"/>
          </w:tcPr>
          <w:p w14:paraId="1466D739" w14:textId="77777777" w:rsidR="00AD245F" w:rsidRPr="00973BEF" w:rsidRDefault="00AD245F" w:rsidP="00973BEF">
            <w:pPr>
              <w:rPr>
                <w:rFonts w:ascii="Arial" w:eastAsia="Times New Roman" w:hAnsi="Arial" w:cs="Arial"/>
                <w:lang w:eastAsia="en-AU"/>
              </w:rPr>
            </w:pPr>
          </w:p>
        </w:tc>
        <w:tc>
          <w:tcPr>
            <w:tcW w:w="2058" w:type="dxa"/>
          </w:tcPr>
          <w:p w14:paraId="485B52D0" w14:textId="77777777" w:rsidR="00AD245F" w:rsidRPr="00973BEF" w:rsidRDefault="00AD245F" w:rsidP="00973BEF">
            <w:pPr>
              <w:rPr>
                <w:rFonts w:ascii="Arial" w:eastAsia="Times New Roman" w:hAnsi="Arial" w:cs="Arial"/>
                <w:lang w:eastAsia="en-AU"/>
              </w:rPr>
            </w:pPr>
          </w:p>
        </w:tc>
      </w:tr>
      <w:tr w:rsidR="00AD245F" w:rsidRPr="00973BEF" w14:paraId="726CB256" w14:textId="77777777" w:rsidTr="004E6748">
        <w:tc>
          <w:tcPr>
            <w:tcW w:w="4248" w:type="dxa"/>
          </w:tcPr>
          <w:p w14:paraId="6E151D11" w14:textId="5289D7F2"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Firetrail Australian High Conviction Fund</w:t>
            </w:r>
          </w:p>
        </w:tc>
        <w:tc>
          <w:tcPr>
            <w:tcW w:w="1984" w:type="dxa"/>
          </w:tcPr>
          <w:p w14:paraId="3B091049" w14:textId="77777777" w:rsidR="00AD245F" w:rsidRPr="00973BEF" w:rsidRDefault="00AD245F" w:rsidP="00973BEF">
            <w:pPr>
              <w:rPr>
                <w:rFonts w:ascii="Arial" w:eastAsia="Times New Roman" w:hAnsi="Arial" w:cs="Arial"/>
                <w:lang w:eastAsia="en-AU"/>
              </w:rPr>
            </w:pPr>
          </w:p>
        </w:tc>
        <w:tc>
          <w:tcPr>
            <w:tcW w:w="2058" w:type="dxa"/>
          </w:tcPr>
          <w:p w14:paraId="65C284C7" w14:textId="77777777" w:rsidR="00AD245F" w:rsidRPr="00973BEF" w:rsidRDefault="00AD245F" w:rsidP="00973BEF">
            <w:pPr>
              <w:rPr>
                <w:rFonts w:ascii="Arial" w:eastAsia="Times New Roman" w:hAnsi="Arial" w:cs="Arial"/>
                <w:lang w:eastAsia="en-AU"/>
              </w:rPr>
            </w:pPr>
          </w:p>
        </w:tc>
      </w:tr>
      <w:tr w:rsidR="00AD245F" w:rsidRPr="00973BEF" w14:paraId="3DA39103" w14:textId="77777777" w:rsidTr="004E6748">
        <w:tc>
          <w:tcPr>
            <w:tcW w:w="4248" w:type="dxa"/>
          </w:tcPr>
          <w:p w14:paraId="4F028A99" w14:textId="0D2E46C5"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BetaShares Geared Australian Equity Fund (hedge fund)</w:t>
            </w:r>
          </w:p>
        </w:tc>
        <w:tc>
          <w:tcPr>
            <w:tcW w:w="1984" w:type="dxa"/>
          </w:tcPr>
          <w:p w14:paraId="2F8BE514" w14:textId="77777777" w:rsidR="00AD245F" w:rsidRPr="00973BEF" w:rsidRDefault="00AD245F" w:rsidP="00973BEF">
            <w:pPr>
              <w:rPr>
                <w:rFonts w:ascii="Arial" w:eastAsia="Times New Roman" w:hAnsi="Arial" w:cs="Arial"/>
                <w:lang w:eastAsia="en-AU"/>
              </w:rPr>
            </w:pPr>
          </w:p>
        </w:tc>
        <w:tc>
          <w:tcPr>
            <w:tcW w:w="2058" w:type="dxa"/>
          </w:tcPr>
          <w:p w14:paraId="24DFED69" w14:textId="77777777" w:rsidR="00AD245F" w:rsidRPr="00973BEF" w:rsidRDefault="00AD245F" w:rsidP="00973BEF">
            <w:pPr>
              <w:rPr>
                <w:rFonts w:ascii="Arial" w:eastAsia="Times New Roman" w:hAnsi="Arial" w:cs="Arial"/>
                <w:lang w:eastAsia="en-AU"/>
              </w:rPr>
            </w:pPr>
          </w:p>
        </w:tc>
      </w:tr>
      <w:tr w:rsidR="00AD245F" w:rsidRPr="00973BEF" w14:paraId="708D0AD5" w14:textId="77777777" w:rsidTr="004E6748">
        <w:tc>
          <w:tcPr>
            <w:tcW w:w="4248" w:type="dxa"/>
          </w:tcPr>
          <w:p w14:paraId="46FEFEF3" w14:textId="7973F2F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Fidelity Future Leaders Fund</w:t>
            </w:r>
          </w:p>
        </w:tc>
        <w:tc>
          <w:tcPr>
            <w:tcW w:w="1984" w:type="dxa"/>
          </w:tcPr>
          <w:p w14:paraId="3F878878" w14:textId="77777777" w:rsidR="00AD245F" w:rsidRPr="00973BEF" w:rsidRDefault="00AD245F" w:rsidP="00973BEF">
            <w:pPr>
              <w:rPr>
                <w:rFonts w:ascii="Arial" w:eastAsia="Times New Roman" w:hAnsi="Arial" w:cs="Arial"/>
                <w:lang w:eastAsia="en-AU"/>
              </w:rPr>
            </w:pPr>
          </w:p>
        </w:tc>
        <w:tc>
          <w:tcPr>
            <w:tcW w:w="2058" w:type="dxa"/>
          </w:tcPr>
          <w:p w14:paraId="4D8B356A" w14:textId="77777777" w:rsidR="00AD245F" w:rsidRPr="00973BEF" w:rsidRDefault="00AD245F" w:rsidP="00973BEF">
            <w:pPr>
              <w:rPr>
                <w:rFonts w:ascii="Arial" w:eastAsia="Times New Roman" w:hAnsi="Arial" w:cs="Arial"/>
                <w:lang w:eastAsia="en-AU"/>
              </w:rPr>
            </w:pPr>
          </w:p>
        </w:tc>
      </w:tr>
      <w:tr w:rsidR="00AD245F" w:rsidRPr="00973BEF" w14:paraId="72A5156D" w14:textId="77777777" w:rsidTr="004E6748">
        <w:tc>
          <w:tcPr>
            <w:tcW w:w="4248" w:type="dxa"/>
          </w:tcPr>
          <w:p w14:paraId="6DE579B9" w14:textId="703CB54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Vanguard International Shares Index Fund</w:t>
            </w:r>
          </w:p>
        </w:tc>
        <w:tc>
          <w:tcPr>
            <w:tcW w:w="1984" w:type="dxa"/>
          </w:tcPr>
          <w:p w14:paraId="177BA13A" w14:textId="77777777" w:rsidR="00AD245F" w:rsidRPr="00973BEF" w:rsidRDefault="00AD245F" w:rsidP="00973BEF">
            <w:pPr>
              <w:rPr>
                <w:rFonts w:ascii="Arial" w:eastAsia="Times New Roman" w:hAnsi="Arial" w:cs="Arial"/>
                <w:lang w:eastAsia="en-AU"/>
              </w:rPr>
            </w:pPr>
          </w:p>
        </w:tc>
        <w:tc>
          <w:tcPr>
            <w:tcW w:w="2058" w:type="dxa"/>
          </w:tcPr>
          <w:p w14:paraId="7CE4DAA6" w14:textId="77777777" w:rsidR="00AD245F" w:rsidRPr="00973BEF" w:rsidRDefault="00AD245F" w:rsidP="00973BEF">
            <w:pPr>
              <w:rPr>
                <w:rFonts w:ascii="Arial" w:eastAsia="Times New Roman" w:hAnsi="Arial" w:cs="Arial"/>
                <w:lang w:eastAsia="en-AU"/>
              </w:rPr>
            </w:pPr>
          </w:p>
        </w:tc>
      </w:tr>
      <w:tr w:rsidR="00AD245F" w:rsidRPr="00973BEF" w14:paraId="5C2A9284" w14:textId="77777777" w:rsidTr="004E6748">
        <w:tc>
          <w:tcPr>
            <w:tcW w:w="4248" w:type="dxa"/>
          </w:tcPr>
          <w:p w14:paraId="4233F201" w14:textId="0E9848EA" w:rsidR="00AD245F" w:rsidRPr="00973BEF" w:rsidRDefault="00656ACF" w:rsidP="00973BEF">
            <w:pPr>
              <w:rPr>
                <w:rFonts w:ascii="Arial" w:eastAsia="Times New Roman" w:hAnsi="Arial" w:cs="Arial"/>
                <w:sz w:val="22"/>
                <w:szCs w:val="22"/>
                <w:lang w:eastAsia="en-AU"/>
              </w:rPr>
            </w:pPr>
            <w:r w:rsidRPr="00973BEF">
              <w:rPr>
                <w:rFonts w:ascii="Arial" w:hAnsi="Arial" w:cs="Arial"/>
                <w:color w:val="000000"/>
                <w:sz w:val="22"/>
                <w:szCs w:val="22"/>
                <w:lang w:val="en-AU"/>
              </w:rPr>
              <w:t>Centuria LifeGoals Walter Scott Global Equity Fund (</w:t>
            </w:r>
            <w:r w:rsidR="00521E4B" w:rsidRPr="00973BEF">
              <w:rPr>
                <w:rFonts w:ascii="Arial" w:hAnsi="Arial" w:cs="Arial"/>
                <w:color w:val="000000"/>
                <w:sz w:val="22"/>
                <w:szCs w:val="22"/>
                <w:lang w:val="en-AU"/>
              </w:rPr>
              <w:t>Unh</w:t>
            </w:r>
            <w:r w:rsidRPr="00973BEF">
              <w:rPr>
                <w:rFonts w:ascii="Arial" w:hAnsi="Arial" w:cs="Arial"/>
                <w:color w:val="000000"/>
                <w:sz w:val="22"/>
                <w:szCs w:val="22"/>
                <w:lang w:val="en-AU"/>
              </w:rPr>
              <w:t>edged)</w:t>
            </w:r>
          </w:p>
        </w:tc>
        <w:tc>
          <w:tcPr>
            <w:tcW w:w="1984" w:type="dxa"/>
          </w:tcPr>
          <w:p w14:paraId="5DD7F07F" w14:textId="77777777" w:rsidR="00AD245F" w:rsidRPr="00973BEF" w:rsidRDefault="00AD245F" w:rsidP="00973BEF">
            <w:pPr>
              <w:rPr>
                <w:rFonts w:ascii="Arial" w:eastAsia="Times New Roman" w:hAnsi="Arial" w:cs="Arial"/>
                <w:lang w:eastAsia="en-AU"/>
              </w:rPr>
            </w:pPr>
          </w:p>
        </w:tc>
        <w:tc>
          <w:tcPr>
            <w:tcW w:w="2058" w:type="dxa"/>
          </w:tcPr>
          <w:p w14:paraId="403213B3" w14:textId="77777777" w:rsidR="00AD245F" w:rsidRPr="00973BEF" w:rsidRDefault="00AD245F" w:rsidP="00973BEF">
            <w:pPr>
              <w:rPr>
                <w:rFonts w:ascii="Arial" w:eastAsia="Times New Roman" w:hAnsi="Arial" w:cs="Arial"/>
                <w:lang w:eastAsia="en-AU"/>
              </w:rPr>
            </w:pPr>
          </w:p>
        </w:tc>
      </w:tr>
      <w:tr w:rsidR="00AD245F" w:rsidRPr="00973BEF" w14:paraId="4406344C" w14:textId="77777777" w:rsidTr="004E6748">
        <w:tc>
          <w:tcPr>
            <w:tcW w:w="4248" w:type="dxa"/>
          </w:tcPr>
          <w:p w14:paraId="6843BFA5" w14:textId="64039D5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lastRenderedPageBreak/>
              <w:t xml:space="preserve">Centuria LifeGoals </w:t>
            </w:r>
            <w:r w:rsidR="00AD245F" w:rsidRPr="00973BEF">
              <w:rPr>
                <w:rFonts w:ascii="Arial" w:hAnsi="Arial" w:cs="Arial"/>
                <w:color w:val="000000"/>
                <w:sz w:val="22"/>
                <w:szCs w:val="22"/>
                <w:lang w:val="en-AU"/>
              </w:rPr>
              <w:t>T. Rowe Price Global Equity Fund</w:t>
            </w:r>
          </w:p>
        </w:tc>
        <w:tc>
          <w:tcPr>
            <w:tcW w:w="1984" w:type="dxa"/>
          </w:tcPr>
          <w:p w14:paraId="0A1C1A26" w14:textId="77777777" w:rsidR="00AD245F" w:rsidRPr="00973BEF" w:rsidRDefault="00AD245F" w:rsidP="00973BEF">
            <w:pPr>
              <w:rPr>
                <w:rFonts w:ascii="Arial" w:eastAsia="Times New Roman" w:hAnsi="Arial" w:cs="Arial"/>
                <w:lang w:eastAsia="en-AU"/>
              </w:rPr>
            </w:pPr>
          </w:p>
        </w:tc>
        <w:tc>
          <w:tcPr>
            <w:tcW w:w="2058" w:type="dxa"/>
          </w:tcPr>
          <w:p w14:paraId="7323EB49" w14:textId="77777777" w:rsidR="00AD245F" w:rsidRPr="00973BEF" w:rsidRDefault="00AD245F" w:rsidP="00973BEF">
            <w:pPr>
              <w:rPr>
                <w:rFonts w:ascii="Arial" w:eastAsia="Times New Roman" w:hAnsi="Arial" w:cs="Arial"/>
                <w:lang w:eastAsia="en-AU"/>
              </w:rPr>
            </w:pPr>
          </w:p>
        </w:tc>
      </w:tr>
      <w:tr w:rsidR="00AD245F" w:rsidRPr="00973BEF" w14:paraId="68873AE2" w14:textId="77777777" w:rsidTr="004E6748">
        <w:tc>
          <w:tcPr>
            <w:tcW w:w="4248" w:type="dxa"/>
          </w:tcPr>
          <w:p w14:paraId="3D112D4A" w14:textId="79B7FB21"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Magellan Global Fund</w:t>
            </w:r>
          </w:p>
        </w:tc>
        <w:tc>
          <w:tcPr>
            <w:tcW w:w="1984" w:type="dxa"/>
          </w:tcPr>
          <w:p w14:paraId="57033604" w14:textId="77777777" w:rsidR="00AD245F" w:rsidRPr="00973BEF" w:rsidRDefault="00AD245F" w:rsidP="00973BEF">
            <w:pPr>
              <w:rPr>
                <w:rFonts w:ascii="Arial" w:eastAsia="Times New Roman" w:hAnsi="Arial" w:cs="Arial"/>
                <w:lang w:eastAsia="en-AU"/>
              </w:rPr>
            </w:pPr>
          </w:p>
        </w:tc>
        <w:tc>
          <w:tcPr>
            <w:tcW w:w="2058" w:type="dxa"/>
          </w:tcPr>
          <w:p w14:paraId="313C11E5" w14:textId="77777777" w:rsidR="00AD245F" w:rsidRPr="00973BEF" w:rsidRDefault="00AD245F" w:rsidP="00973BEF">
            <w:pPr>
              <w:rPr>
                <w:rFonts w:ascii="Arial" w:eastAsia="Times New Roman" w:hAnsi="Arial" w:cs="Arial"/>
                <w:lang w:eastAsia="en-AU"/>
              </w:rPr>
            </w:pPr>
          </w:p>
        </w:tc>
      </w:tr>
      <w:tr w:rsidR="00AD245F" w:rsidRPr="00973BEF" w14:paraId="1DD722B1" w14:textId="77777777" w:rsidTr="004E6748">
        <w:tc>
          <w:tcPr>
            <w:tcW w:w="4248" w:type="dxa"/>
          </w:tcPr>
          <w:p w14:paraId="26EACEE3" w14:textId="3AA56C9D" w:rsidR="00AD245F" w:rsidRPr="00973BEF" w:rsidRDefault="00E6668F"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LifeGoals </w:t>
            </w:r>
            <w:r w:rsidR="00AD245F" w:rsidRPr="00973BEF">
              <w:rPr>
                <w:rFonts w:ascii="Arial" w:hAnsi="Arial" w:cs="Arial"/>
                <w:color w:val="000000"/>
                <w:sz w:val="22"/>
                <w:szCs w:val="22"/>
                <w:lang w:val="en-AU"/>
              </w:rPr>
              <w:t>Magellan Infrastructure Fund</w:t>
            </w:r>
          </w:p>
        </w:tc>
        <w:tc>
          <w:tcPr>
            <w:tcW w:w="1984" w:type="dxa"/>
          </w:tcPr>
          <w:p w14:paraId="190FABB1" w14:textId="77777777" w:rsidR="00AD245F" w:rsidRPr="00973BEF" w:rsidRDefault="00AD245F" w:rsidP="00973BEF">
            <w:pPr>
              <w:rPr>
                <w:rFonts w:ascii="Arial" w:eastAsia="Times New Roman" w:hAnsi="Arial" w:cs="Arial"/>
                <w:lang w:eastAsia="en-AU"/>
              </w:rPr>
            </w:pPr>
          </w:p>
        </w:tc>
        <w:tc>
          <w:tcPr>
            <w:tcW w:w="2058" w:type="dxa"/>
          </w:tcPr>
          <w:p w14:paraId="093A54E2" w14:textId="77777777" w:rsidR="00AD245F" w:rsidRPr="00973BEF" w:rsidRDefault="00AD245F" w:rsidP="00973BEF">
            <w:pPr>
              <w:rPr>
                <w:rFonts w:ascii="Arial" w:eastAsia="Times New Roman" w:hAnsi="Arial" w:cs="Arial"/>
                <w:lang w:eastAsia="en-AU"/>
              </w:rPr>
            </w:pPr>
          </w:p>
        </w:tc>
      </w:tr>
      <w:tr w:rsidR="000005E2" w:rsidRPr="00973BEF" w14:paraId="63C3B58D" w14:textId="77777777" w:rsidTr="004E6748">
        <w:tc>
          <w:tcPr>
            <w:tcW w:w="4248" w:type="dxa"/>
          </w:tcPr>
          <w:p w14:paraId="11B318A1" w14:textId="5A88AB36" w:rsidR="000005E2" w:rsidRPr="00973BEF" w:rsidRDefault="000005E2" w:rsidP="00973BEF">
            <w:pPr>
              <w:rPr>
                <w:rFonts w:ascii="Arial" w:hAnsi="Arial" w:cs="Arial"/>
                <w:color w:val="000000"/>
                <w:sz w:val="22"/>
                <w:szCs w:val="22"/>
                <w:lang w:val="en-AU"/>
              </w:rPr>
            </w:pPr>
            <w:r w:rsidRPr="00973BEF">
              <w:rPr>
                <w:rFonts w:ascii="Arial" w:hAnsi="Arial" w:cs="Arial"/>
                <w:color w:val="000000"/>
                <w:sz w:val="22"/>
                <w:szCs w:val="22"/>
                <w:lang w:val="en-AU"/>
              </w:rPr>
              <w:t>Centuria LifeGoals Vanguard International Small Companies Index Fund</w:t>
            </w:r>
          </w:p>
        </w:tc>
        <w:tc>
          <w:tcPr>
            <w:tcW w:w="1984" w:type="dxa"/>
          </w:tcPr>
          <w:p w14:paraId="1EC485F9" w14:textId="77777777" w:rsidR="000005E2" w:rsidRPr="00973BEF" w:rsidRDefault="000005E2" w:rsidP="00973BEF">
            <w:pPr>
              <w:rPr>
                <w:rFonts w:ascii="Arial" w:eastAsia="Times New Roman" w:hAnsi="Arial" w:cs="Arial"/>
                <w:lang w:eastAsia="en-AU"/>
              </w:rPr>
            </w:pPr>
          </w:p>
        </w:tc>
        <w:tc>
          <w:tcPr>
            <w:tcW w:w="2058" w:type="dxa"/>
          </w:tcPr>
          <w:p w14:paraId="74545EBF" w14:textId="77777777" w:rsidR="000005E2" w:rsidRPr="00973BEF" w:rsidRDefault="000005E2" w:rsidP="00973BEF">
            <w:pPr>
              <w:rPr>
                <w:rFonts w:ascii="Arial" w:eastAsia="Times New Roman" w:hAnsi="Arial" w:cs="Arial"/>
                <w:lang w:eastAsia="en-AU"/>
              </w:rPr>
            </w:pPr>
          </w:p>
        </w:tc>
      </w:tr>
      <w:tr w:rsidR="00213C23" w:rsidRPr="00973BEF" w14:paraId="0BD17A4F" w14:textId="77777777" w:rsidTr="004E6748">
        <w:tc>
          <w:tcPr>
            <w:tcW w:w="4248" w:type="dxa"/>
          </w:tcPr>
          <w:p w14:paraId="2E7601F4" w14:textId="52F65AC4"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9A1116" w:rsidRPr="00973BEF">
              <w:rPr>
                <w:rFonts w:ascii="Arial" w:hAnsi="Arial" w:cs="Arial"/>
                <w:color w:val="000000"/>
                <w:sz w:val="22"/>
                <w:szCs w:val="22"/>
                <w:lang w:val="en-AU"/>
              </w:rPr>
              <w:t>Pimco Australian Bond Fund</w:t>
            </w:r>
          </w:p>
        </w:tc>
        <w:tc>
          <w:tcPr>
            <w:tcW w:w="1984" w:type="dxa"/>
          </w:tcPr>
          <w:p w14:paraId="0035C16A" w14:textId="77777777" w:rsidR="00213C23" w:rsidRPr="00973BEF" w:rsidRDefault="00213C23" w:rsidP="00973BEF">
            <w:pPr>
              <w:rPr>
                <w:rFonts w:ascii="Arial" w:eastAsia="Times New Roman" w:hAnsi="Arial" w:cs="Arial"/>
                <w:lang w:eastAsia="en-AU"/>
              </w:rPr>
            </w:pPr>
          </w:p>
        </w:tc>
        <w:tc>
          <w:tcPr>
            <w:tcW w:w="2058" w:type="dxa"/>
          </w:tcPr>
          <w:p w14:paraId="2949B5D5" w14:textId="77777777" w:rsidR="00213C23" w:rsidRPr="00973BEF" w:rsidRDefault="00213C23" w:rsidP="00973BEF">
            <w:pPr>
              <w:rPr>
                <w:rFonts w:ascii="Arial" w:eastAsia="Times New Roman" w:hAnsi="Arial" w:cs="Arial"/>
                <w:lang w:eastAsia="en-AU"/>
              </w:rPr>
            </w:pPr>
          </w:p>
        </w:tc>
      </w:tr>
      <w:tr w:rsidR="00213C23" w:rsidRPr="00973BEF" w14:paraId="7330DF47" w14:textId="77777777" w:rsidTr="004E6748">
        <w:tc>
          <w:tcPr>
            <w:tcW w:w="4248" w:type="dxa"/>
          </w:tcPr>
          <w:p w14:paraId="7D6317A1" w14:textId="5004F4DB"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9A1116" w:rsidRPr="00973BEF">
              <w:rPr>
                <w:rFonts w:ascii="Arial" w:hAnsi="Arial" w:cs="Arial"/>
                <w:color w:val="000000"/>
                <w:sz w:val="22"/>
                <w:szCs w:val="22"/>
                <w:lang w:val="en-AU"/>
              </w:rPr>
              <w:t>Pimco Global Bond Fund</w:t>
            </w:r>
          </w:p>
        </w:tc>
        <w:tc>
          <w:tcPr>
            <w:tcW w:w="1984" w:type="dxa"/>
          </w:tcPr>
          <w:p w14:paraId="5D8E7BFD" w14:textId="77777777" w:rsidR="00213C23" w:rsidRPr="00973BEF" w:rsidRDefault="00213C23" w:rsidP="00973BEF">
            <w:pPr>
              <w:rPr>
                <w:rFonts w:ascii="Arial" w:eastAsia="Times New Roman" w:hAnsi="Arial" w:cs="Arial"/>
                <w:lang w:eastAsia="en-AU"/>
              </w:rPr>
            </w:pPr>
          </w:p>
        </w:tc>
        <w:tc>
          <w:tcPr>
            <w:tcW w:w="2058" w:type="dxa"/>
          </w:tcPr>
          <w:p w14:paraId="3E378688" w14:textId="77777777" w:rsidR="00213C23" w:rsidRPr="00973BEF" w:rsidRDefault="00213C23" w:rsidP="00973BEF">
            <w:pPr>
              <w:rPr>
                <w:rFonts w:ascii="Arial" w:eastAsia="Times New Roman" w:hAnsi="Arial" w:cs="Arial"/>
                <w:lang w:eastAsia="en-AU"/>
              </w:rPr>
            </w:pPr>
          </w:p>
        </w:tc>
      </w:tr>
      <w:tr w:rsidR="00213C23" w:rsidRPr="00973BEF" w14:paraId="6214CE37" w14:textId="77777777" w:rsidTr="004E6748">
        <w:tc>
          <w:tcPr>
            <w:tcW w:w="4248" w:type="dxa"/>
          </w:tcPr>
          <w:p w14:paraId="39512FFA" w14:textId="693265B9"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B64C34" w:rsidRPr="00973BEF">
              <w:rPr>
                <w:rFonts w:ascii="Arial" w:hAnsi="Arial" w:cs="Arial"/>
                <w:color w:val="000000"/>
                <w:sz w:val="22"/>
                <w:szCs w:val="22"/>
                <w:lang w:val="en-AU"/>
              </w:rPr>
              <w:t>Pendal Sustainable Balanced Fund</w:t>
            </w:r>
          </w:p>
        </w:tc>
        <w:tc>
          <w:tcPr>
            <w:tcW w:w="1984" w:type="dxa"/>
          </w:tcPr>
          <w:p w14:paraId="7AAA660E" w14:textId="77777777" w:rsidR="00213C23" w:rsidRPr="00973BEF" w:rsidRDefault="00213C23" w:rsidP="00973BEF">
            <w:pPr>
              <w:rPr>
                <w:rFonts w:ascii="Arial" w:eastAsia="Times New Roman" w:hAnsi="Arial" w:cs="Arial"/>
                <w:lang w:eastAsia="en-AU"/>
              </w:rPr>
            </w:pPr>
          </w:p>
        </w:tc>
        <w:tc>
          <w:tcPr>
            <w:tcW w:w="2058" w:type="dxa"/>
          </w:tcPr>
          <w:p w14:paraId="761A17ED" w14:textId="77777777" w:rsidR="00213C23" w:rsidRPr="00973BEF" w:rsidRDefault="00213C23" w:rsidP="00973BEF">
            <w:pPr>
              <w:rPr>
                <w:rFonts w:ascii="Arial" w:eastAsia="Times New Roman" w:hAnsi="Arial" w:cs="Arial"/>
                <w:lang w:eastAsia="en-AU"/>
              </w:rPr>
            </w:pPr>
          </w:p>
        </w:tc>
      </w:tr>
      <w:tr w:rsidR="00213C23" w:rsidRPr="00973BEF" w14:paraId="2F717D80" w14:textId="77777777" w:rsidTr="004E6748">
        <w:tc>
          <w:tcPr>
            <w:tcW w:w="4248" w:type="dxa"/>
          </w:tcPr>
          <w:p w14:paraId="626E9C34" w14:textId="4D756730"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B64C34" w:rsidRPr="00973BEF">
              <w:rPr>
                <w:rFonts w:ascii="Arial" w:hAnsi="Arial" w:cs="Arial"/>
                <w:color w:val="000000"/>
                <w:sz w:val="22"/>
                <w:szCs w:val="22"/>
                <w:lang w:val="en-AU"/>
              </w:rPr>
              <w:t>Alphinity Sustainable Share Fund</w:t>
            </w:r>
          </w:p>
        </w:tc>
        <w:tc>
          <w:tcPr>
            <w:tcW w:w="1984" w:type="dxa"/>
          </w:tcPr>
          <w:p w14:paraId="486B5B25" w14:textId="77777777" w:rsidR="00213C23" w:rsidRPr="00973BEF" w:rsidRDefault="00213C23" w:rsidP="00973BEF">
            <w:pPr>
              <w:rPr>
                <w:rFonts w:ascii="Arial" w:eastAsia="Times New Roman" w:hAnsi="Arial" w:cs="Arial"/>
                <w:lang w:eastAsia="en-AU"/>
              </w:rPr>
            </w:pPr>
          </w:p>
        </w:tc>
        <w:tc>
          <w:tcPr>
            <w:tcW w:w="2058" w:type="dxa"/>
          </w:tcPr>
          <w:p w14:paraId="599475A1" w14:textId="77777777" w:rsidR="00213C23" w:rsidRPr="00973BEF" w:rsidRDefault="00213C23" w:rsidP="00973BEF">
            <w:pPr>
              <w:rPr>
                <w:rFonts w:ascii="Arial" w:eastAsia="Times New Roman" w:hAnsi="Arial" w:cs="Arial"/>
                <w:lang w:eastAsia="en-AU"/>
              </w:rPr>
            </w:pPr>
          </w:p>
        </w:tc>
      </w:tr>
      <w:tr w:rsidR="00213C23" w:rsidRPr="00973BEF" w14:paraId="35B5C012" w14:textId="77777777" w:rsidTr="004E6748">
        <w:tc>
          <w:tcPr>
            <w:tcW w:w="4248" w:type="dxa"/>
          </w:tcPr>
          <w:p w14:paraId="74AF3D0E" w14:textId="2C047561"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LifeGoals </w:t>
            </w:r>
            <w:r w:rsidR="00B64C34" w:rsidRPr="00973BEF">
              <w:rPr>
                <w:rFonts w:ascii="Arial" w:hAnsi="Arial" w:cs="Arial"/>
                <w:color w:val="000000"/>
                <w:sz w:val="22"/>
                <w:szCs w:val="22"/>
                <w:lang w:val="en-AU"/>
              </w:rPr>
              <w:t>Greencape Broadcap Fund</w:t>
            </w:r>
          </w:p>
        </w:tc>
        <w:tc>
          <w:tcPr>
            <w:tcW w:w="1984" w:type="dxa"/>
          </w:tcPr>
          <w:p w14:paraId="01C646F0" w14:textId="77777777" w:rsidR="00213C23" w:rsidRPr="00973BEF" w:rsidRDefault="00213C23" w:rsidP="00973BEF">
            <w:pPr>
              <w:rPr>
                <w:rFonts w:ascii="Arial" w:eastAsia="Times New Roman" w:hAnsi="Arial" w:cs="Arial"/>
                <w:lang w:eastAsia="en-AU"/>
              </w:rPr>
            </w:pPr>
          </w:p>
        </w:tc>
        <w:tc>
          <w:tcPr>
            <w:tcW w:w="2058" w:type="dxa"/>
          </w:tcPr>
          <w:p w14:paraId="2E9C1A9D" w14:textId="77777777" w:rsidR="00213C23" w:rsidRPr="00973BEF" w:rsidRDefault="00213C23" w:rsidP="00973BEF">
            <w:pPr>
              <w:rPr>
                <w:rFonts w:ascii="Arial" w:eastAsia="Times New Roman" w:hAnsi="Arial" w:cs="Arial"/>
                <w:lang w:eastAsia="en-AU"/>
              </w:rPr>
            </w:pPr>
          </w:p>
        </w:tc>
      </w:tr>
      <w:tr w:rsidR="00213C23" w:rsidRPr="00973BEF" w14:paraId="41E3D547" w14:textId="77777777" w:rsidTr="004E6748">
        <w:tc>
          <w:tcPr>
            <w:tcW w:w="4248" w:type="dxa"/>
          </w:tcPr>
          <w:p w14:paraId="1E6992BB" w14:textId="77777777" w:rsidR="00213C23" w:rsidRDefault="006C53FC" w:rsidP="00973BEF">
            <w:pPr>
              <w:rPr>
                <w:rFonts w:ascii="Arial" w:hAnsi="Arial" w:cs="Arial"/>
                <w:color w:val="000000"/>
                <w:sz w:val="22"/>
                <w:szCs w:val="22"/>
                <w:lang w:val="en-AU"/>
              </w:rPr>
            </w:pPr>
            <w:r w:rsidRPr="00973BEF">
              <w:rPr>
                <w:rFonts w:ascii="Arial" w:hAnsi="Arial" w:cs="Arial"/>
                <w:color w:val="000000"/>
                <w:sz w:val="22"/>
                <w:szCs w:val="22"/>
                <w:lang w:val="en-AU"/>
              </w:rPr>
              <w:t>Centuria Balanced Fund</w:t>
            </w:r>
          </w:p>
          <w:p w14:paraId="0955C832" w14:textId="69DEAB96" w:rsidR="00973BEF" w:rsidRPr="00973BEF" w:rsidRDefault="00973BEF" w:rsidP="00973BEF">
            <w:pPr>
              <w:rPr>
                <w:rFonts w:ascii="Arial" w:hAnsi="Arial" w:cs="Arial"/>
                <w:color w:val="000000"/>
                <w:sz w:val="22"/>
                <w:szCs w:val="22"/>
                <w:lang w:val="en-AU"/>
              </w:rPr>
            </w:pPr>
          </w:p>
        </w:tc>
        <w:tc>
          <w:tcPr>
            <w:tcW w:w="1984" w:type="dxa"/>
          </w:tcPr>
          <w:p w14:paraId="3AEDD3B9" w14:textId="77777777" w:rsidR="00213C23" w:rsidRPr="00973BEF" w:rsidRDefault="00213C23" w:rsidP="00973BEF">
            <w:pPr>
              <w:rPr>
                <w:rFonts w:ascii="Arial" w:eastAsia="Times New Roman" w:hAnsi="Arial" w:cs="Arial"/>
                <w:lang w:eastAsia="en-AU"/>
              </w:rPr>
            </w:pPr>
          </w:p>
        </w:tc>
        <w:tc>
          <w:tcPr>
            <w:tcW w:w="2058" w:type="dxa"/>
          </w:tcPr>
          <w:p w14:paraId="50E02477" w14:textId="77777777" w:rsidR="00213C23" w:rsidRPr="00973BEF" w:rsidRDefault="00213C23" w:rsidP="00973BEF">
            <w:pPr>
              <w:rPr>
                <w:rFonts w:ascii="Arial" w:eastAsia="Times New Roman" w:hAnsi="Arial" w:cs="Arial"/>
                <w:lang w:eastAsia="en-AU"/>
              </w:rPr>
            </w:pPr>
          </w:p>
        </w:tc>
      </w:tr>
      <w:tr w:rsidR="00DE1F47" w:rsidRPr="00973BEF" w14:paraId="3C3AD65A" w14:textId="77777777" w:rsidTr="004E6748">
        <w:tc>
          <w:tcPr>
            <w:tcW w:w="4248" w:type="dxa"/>
          </w:tcPr>
          <w:p w14:paraId="43702BCD" w14:textId="77777777" w:rsidR="00DE1F47" w:rsidRDefault="006C53FC"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Growth Bond Fund </w:t>
            </w:r>
          </w:p>
          <w:p w14:paraId="25AE6AB4" w14:textId="532EBF5D" w:rsidR="00973BEF" w:rsidRPr="00973BEF" w:rsidRDefault="00973BEF" w:rsidP="00973BEF">
            <w:pPr>
              <w:rPr>
                <w:rFonts w:ascii="Arial" w:hAnsi="Arial" w:cs="Arial"/>
                <w:color w:val="000000"/>
                <w:sz w:val="22"/>
                <w:szCs w:val="22"/>
                <w:lang w:val="en-AU"/>
              </w:rPr>
            </w:pPr>
          </w:p>
        </w:tc>
        <w:tc>
          <w:tcPr>
            <w:tcW w:w="1984" w:type="dxa"/>
          </w:tcPr>
          <w:p w14:paraId="2F404D97" w14:textId="77777777" w:rsidR="00DE1F47" w:rsidRPr="00973BEF" w:rsidRDefault="00DE1F47" w:rsidP="00973BEF">
            <w:pPr>
              <w:rPr>
                <w:rFonts w:ascii="Arial" w:eastAsia="Times New Roman" w:hAnsi="Arial" w:cs="Arial"/>
                <w:lang w:eastAsia="en-AU"/>
              </w:rPr>
            </w:pPr>
          </w:p>
        </w:tc>
        <w:tc>
          <w:tcPr>
            <w:tcW w:w="2058" w:type="dxa"/>
          </w:tcPr>
          <w:p w14:paraId="50ED574C" w14:textId="77777777" w:rsidR="00DE1F47" w:rsidRPr="00973BEF" w:rsidRDefault="00DE1F47" w:rsidP="00973BEF">
            <w:pPr>
              <w:rPr>
                <w:rFonts w:ascii="Arial" w:eastAsia="Times New Roman" w:hAnsi="Arial" w:cs="Arial"/>
                <w:lang w:eastAsia="en-AU"/>
              </w:rPr>
            </w:pPr>
          </w:p>
        </w:tc>
      </w:tr>
      <w:tr w:rsidR="00213C23" w:rsidRPr="00973BEF" w14:paraId="6868CEEC" w14:textId="77777777" w:rsidTr="004E6748">
        <w:tc>
          <w:tcPr>
            <w:tcW w:w="4248" w:type="dxa"/>
          </w:tcPr>
          <w:p w14:paraId="483329B4" w14:textId="77777777" w:rsidR="00213C23" w:rsidRDefault="003A484C"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Australian Shares Fund </w:t>
            </w:r>
          </w:p>
          <w:p w14:paraId="35E52CC6" w14:textId="414D2938" w:rsidR="00973BEF" w:rsidRPr="00973BEF" w:rsidRDefault="00973BEF" w:rsidP="00973BEF">
            <w:pPr>
              <w:rPr>
                <w:rFonts w:ascii="Arial" w:hAnsi="Arial" w:cs="Arial"/>
                <w:color w:val="000000"/>
                <w:sz w:val="22"/>
                <w:szCs w:val="22"/>
                <w:lang w:val="en-AU"/>
              </w:rPr>
            </w:pPr>
          </w:p>
        </w:tc>
        <w:tc>
          <w:tcPr>
            <w:tcW w:w="1984" w:type="dxa"/>
          </w:tcPr>
          <w:p w14:paraId="33F38391" w14:textId="77777777" w:rsidR="00213C23" w:rsidRPr="00973BEF" w:rsidRDefault="00213C23" w:rsidP="00973BEF">
            <w:pPr>
              <w:rPr>
                <w:rFonts w:ascii="Arial" w:eastAsia="Times New Roman" w:hAnsi="Arial" w:cs="Arial"/>
                <w:lang w:eastAsia="en-AU"/>
              </w:rPr>
            </w:pPr>
          </w:p>
        </w:tc>
        <w:tc>
          <w:tcPr>
            <w:tcW w:w="2058" w:type="dxa"/>
          </w:tcPr>
          <w:p w14:paraId="200B3123" w14:textId="77777777" w:rsidR="00213C23" w:rsidRPr="00973BEF" w:rsidRDefault="00213C23" w:rsidP="00973BEF">
            <w:pPr>
              <w:rPr>
                <w:rFonts w:ascii="Arial" w:eastAsia="Times New Roman" w:hAnsi="Arial" w:cs="Arial"/>
                <w:lang w:eastAsia="en-AU"/>
              </w:rPr>
            </w:pPr>
          </w:p>
        </w:tc>
      </w:tr>
      <w:tr w:rsidR="00DF6327" w:rsidRPr="00973BEF" w14:paraId="19277257" w14:textId="77777777" w:rsidTr="004E6748">
        <w:tc>
          <w:tcPr>
            <w:tcW w:w="4248" w:type="dxa"/>
          </w:tcPr>
          <w:p w14:paraId="019520AA" w14:textId="53E61AD4" w:rsidR="00DF6327" w:rsidRPr="00DF6327" w:rsidRDefault="00DF6327" w:rsidP="00973BEF">
            <w:pPr>
              <w:rPr>
                <w:rFonts w:ascii="Arial" w:hAnsi="Arial" w:cs="Arial"/>
                <w:color w:val="000000"/>
                <w:sz w:val="22"/>
                <w:szCs w:val="22"/>
                <w:lang w:val="en-AU"/>
              </w:rPr>
            </w:pPr>
            <w:r w:rsidRPr="00DF6327">
              <w:rPr>
                <w:rFonts w:ascii="Arial" w:hAnsi="Arial" w:cs="Arial"/>
                <w:color w:val="000000"/>
                <w:sz w:val="22"/>
                <w:szCs w:val="22"/>
                <w:lang w:val="en-AU"/>
              </w:rPr>
              <w:t xml:space="preserve">Centuria </w:t>
            </w:r>
            <w:r w:rsidR="004F577D">
              <w:rPr>
                <w:rFonts w:ascii="Arial" w:hAnsi="Arial" w:cs="Arial"/>
                <w:color w:val="000000"/>
                <w:sz w:val="22"/>
                <w:szCs w:val="22"/>
                <w:lang w:val="en-AU"/>
              </w:rPr>
              <w:t xml:space="preserve">LifeGoals </w:t>
            </w:r>
            <w:r w:rsidRPr="00DF6327">
              <w:rPr>
                <w:rFonts w:ascii="Arial" w:hAnsi="Arial" w:cs="Arial"/>
                <w:color w:val="000000"/>
                <w:sz w:val="22"/>
                <w:szCs w:val="22"/>
                <w:lang w:val="en-AU"/>
              </w:rPr>
              <w:t>DWA CARE Core High Growth Fund</w:t>
            </w:r>
          </w:p>
        </w:tc>
        <w:tc>
          <w:tcPr>
            <w:tcW w:w="1984" w:type="dxa"/>
          </w:tcPr>
          <w:p w14:paraId="5112CD4F" w14:textId="77777777" w:rsidR="00DF6327" w:rsidRPr="00973BEF" w:rsidRDefault="00DF6327" w:rsidP="00973BEF">
            <w:pPr>
              <w:rPr>
                <w:rFonts w:ascii="Arial" w:eastAsia="Times New Roman" w:hAnsi="Arial" w:cs="Arial"/>
                <w:b/>
                <w:bCs/>
                <w:lang w:eastAsia="en-AU"/>
              </w:rPr>
            </w:pPr>
          </w:p>
        </w:tc>
        <w:tc>
          <w:tcPr>
            <w:tcW w:w="2058" w:type="dxa"/>
          </w:tcPr>
          <w:p w14:paraId="595B2857" w14:textId="77777777" w:rsidR="00DF6327" w:rsidRPr="00973BEF" w:rsidRDefault="00DF6327" w:rsidP="00973BEF">
            <w:pPr>
              <w:rPr>
                <w:rFonts w:ascii="Arial" w:eastAsia="Times New Roman" w:hAnsi="Arial" w:cs="Arial"/>
                <w:b/>
                <w:bCs/>
                <w:lang w:eastAsia="en-AU"/>
              </w:rPr>
            </w:pPr>
          </w:p>
        </w:tc>
      </w:tr>
      <w:tr w:rsidR="00DF6327" w:rsidRPr="00973BEF" w14:paraId="61173A94" w14:textId="77777777" w:rsidTr="004E6748">
        <w:tc>
          <w:tcPr>
            <w:tcW w:w="4248" w:type="dxa"/>
          </w:tcPr>
          <w:p w14:paraId="05EF66A9" w14:textId="62D53D22" w:rsidR="00DF6327" w:rsidRPr="00DF6327" w:rsidRDefault="00DF6327" w:rsidP="00973BEF">
            <w:pPr>
              <w:rPr>
                <w:rFonts w:ascii="Arial" w:hAnsi="Arial" w:cs="Arial"/>
                <w:color w:val="000000"/>
                <w:sz w:val="22"/>
                <w:szCs w:val="22"/>
                <w:lang w:val="en-AU"/>
              </w:rPr>
            </w:pPr>
            <w:r w:rsidRPr="00DF6327">
              <w:rPr>
                <w:rFonts w:ascii="Arial" w:hAnsi="Arial" w:cs="Arial"/>
                <w:color w:val="000000"/>
                <w:sz w:val="22"/>
                <w:szCs w:val="22"/>
                <w:lang w:val="en-AU"/>
              </w:rPr>
              <w:t xml:space="preserve">Centuria </w:t>
            </w:r>
            <w:r w:rsidR="004F577D">
              <w:rPr>
                <w:rFonts w:ascii="Arial" w:hAnsi="Arial" w:cs="Arial"/>
                <w:color w:val="000000"/>
                <w:sz w:val="22"/>
                <w:szCs w:val="22"/>
                <w:lang w:val="en-AU"/>
              </w:rPr>
              <w:t xml:space="preserve">LifeGoals </w:t>
            </w:r>
            <w:r w:rsidRPr="00DF6327">
              <w:rPr>
                <w:rFonts w:ascii="Arial" w:hAnsi="Arial" w:cs="Arial"/>
                <w:color w:val="000000"/>
                <w:sz w:val="22"/>
                <w:szCs w:val="22"/>
                <w:lang w:val="en-AU"/>
              </w:rPr>
              <w:t xml:space="preserve">DWA CARE </w:t>
            </w:r>
            <w:r w:rsidR="009646C5">
              <w:rPr>
                <w:rFonts w:ascii="Arial" w:hAnsi="Arial" w:cs="Arial"/>
                <w:color w:val="000000"/>
                <w:sz w:val="22"/>
                <w:szCs w:val="22"/>
                <w:lang w:val="en-AU"/>
              </w:rPr>
              <w:t>ESG H</w:t>
            </w:r>
            <w:r w:rsidR="009301F6">
              <w:rPr>
                <w:rFonts w:ascii="Arial" w:hAnsi="Arial" w:cs="Arial"/>
                <w:color w:val="000000"/>
                <w:sz w:val="22"/>
                <w:szCs w:val="22"/>
                <w:lang w:val="en-AU"/>
              </w:rPr>
              <w:t>igh Growth Fund</w:t>
            </w:r>
          </w:p>
        </w:tc>
        <w:tc>
          <w:tcPr>
            <w:tcW w:w="1984" w:type="dxa"/>
          </w:tcPr>
          <w:p w14:paraId="4C4204AF" w14:textId="77777777" w:rsidR="00DF6327" w:rsidRPr="00973BEF" w:rsidRDefault="00DF6327" w:rsidP="00973BEF">
            <w:pPr>
              <w:rPr>
                <w:rFonts w:ascii="Arial" w:eastAsia="Times New Roman" w:hAnsi="Arial" w:cs="Arial"/>
                <w:b/>
                <w:bCs/>
                <w:lang w:eastAsia="en-AU"/>
              </w:rPr>
            </w:pPr>
          </w:p>
        </w:tc>
        <w:tc>
          <w:tcPr>
            <w:tcW w:w="2058" w:type="dxa"/>
          </w:tcPr>
          <w:p w14:paraId="1BBA9C9F" w14:textId="77777777" w:rsidR="00DF6327" w:rsidRPr="00973BEF" w:rsidRDefault="00DF6327" w:rsidP="00973BEF">
            <w:pPr>
              <w:rPr>
                <w:rFonts w:ascii="Arial" w:eastAsia="Times New Roman" w:hAnsi="Arial" w:cs="Arial"/>
                <w:b/>
                <w:bCs/>
                <w:lang w:eastAsia="en-AU"/>
              </w:rPr>
            </w:pPr>
          </w:p>
        </w:tc>
      </w:tr>
      <w:tr w:rsidR="003672B6" w:rsidRPr="00973BEF" w14:paraId="1877B1D5" w14:textId="77777777" w:rsidTr="004E6748">
        <w:tc>
          <w:tcPr>
            <w:tcW w:w="4248" w:type="dxa"/>
          </w:tcPr>
          <w:p w14:paraId="2F0C028B" w14:textId="0CB3CEE1" w:rsidR="003672B6" w:rsidRPr="00DF6327" w:rsidRDefault="009646C5" w:rsidP="00973BEF">
            <w:pPr>
              <w:rPr>
                <w:rFonts w:ascii="Arial" w:hAnsi="Arial" w:cs="Arial"/>
                <w:color w:val="000000"/>
                <w:sz w:val="22"/>
                <w:szCs w:val="22"/>
                <w:lang w:val="en-AU"/>
              </w:rPr>
            </w:pPr>
            <w:r w:rsidRPr="009646C5">
              <w:rPr>
                <w:rFonts w:ascii="Arial" w:hAnsi="Arial" w:cs="Arial"/>
                <w:color w:val="000000"/>
                <w:sz w:val="22"/>
                <w:szCs w:val="22"/>
                <w:lang w:val="en-AU"/>
              </w:rPr>
              <w:t xml:space="preserve">Centuria </w:t>
            </w:r>
            <w:r w:rsidR="004F577D">
              <w:rPr>
                <w:rFonts w:ascii="Arial" w:hAnsi="Arial" w:cs="Arial"/>
                <w:color w:val="000000"/>
                <w:sz w:val="22"/>
                <w:szCs w:val="22"/>
                <w:lang w:val="en-AU"/>
              </w:rPr>
              <w:t xml:space="preserve">LifeGoals </w:t>
            </w:r>
            <w:r w:rsidRPr="009646C5">
              <w:rPr>
                <w:rFonts w:ascii="Arial" w:hAnsi="Arial" w:cs="Arial"/>
                <w:color w:val="000000"/>
                <w:sz w:val="22"/>
                <w:szCs w:val="22"/>
                <w:lang w:val="en-AU"/>
              </w:rPr>
              <w:t>DWA CARE Balanced Fund</w:t>
            </w:r>
          </w:p>
        </w:tc>
        <w:tc>
          <w:tcPr>
            <w:tcW w:w="1984" w:type="dxa"/>
          </w:tcPr>
          <w:p w14:paraId="7ACA64A9" w14:textId="77777777" w:rsidR="003672B6" w:rsidRPr="00973BEF" w:rsidRDefault="003672B6" w:rsidP="00973BEF">
            <w:pPr>
              <w:rPr>
                <w:rFonts w:ascii="Arial" w:eastAsia="Times New Roman" w:hAnsi="Arial" w:cs="Arial"/>
                <w:b/>
                <w:bCs/>
                <w:lang w:eastAsia="en-AU"/>
              </w:rPr>
            </w:pPr>
          </w:p>
        </w:tc>
        <w:tc>
          <w:tcPr>
            <w:tcW w:w="2058" w:type="dxa"/>
          </w:tcPr>
          <w:p w14:paraId="4184A340" w14:textId="77777777" w:rsidR="003672B6" w:rsidRPr="00973BEF" w:rsidRDefault="003672B6" w:rsidP="00973BEF">
            <w:pPr>
              <w:rPr>
                <w:rFonts w:ascii="Arial" w:eastAsia="Times New Roman" w:hAnsi="Arial" w:cs="Arial"/>
                <w:b/>
                <w:bCs/>
                <w:lang w:eastAsia="en-AU"/>
              </w:rPr>
            </w:pPr>
          </w:p>
        </w:tc>
      </w:tr>
      <w:tr w:rsidR="00E12FEC" w:rsidRPr="00973BEF" w14:paraId="14E729BF" w14:textId="77777777" w:rsidTr="004E6748">
        <w:tc>
          <w:tcPr>
            <w:tcW w:w="4248" w:type="dxa"/>
          </w:tcPr>
          <w:p w14:paraId="7E3E80F0" w14:textId="709D0242" w:rsidR="00E12FEC" w:rsidRPr="009646C5" w:rsidRDefault="00E12FEC" w:rsidP="00973BEF">
            <w:pPr>
              <w:rPr>
                <w:rFonts w:ascii="Arial" w:hAnsi="Arial" w:cs="Arial"/>
                <w:color w:val="000000"/>
                <w:sz w:val="22"/>
                <w:szCs w:val="22"/>
                <w:lang w:val="en-AU"/>
              </w:rPr>
            </w:pPr>
            <w:r>
              <w:rPr>
                <w:rFonts w:ascii="Arial" w:hAnsi="Arial" w:cs="Arial"/>
                <w:color w:val="000000"/>
                <w:sz w:val="22"/>
                <w:szCs w:val="22"/>
                <w:lang w:val="en-AU"/>
              </w:rPr>
              <w:t>Centurial Providence Investment Fund</w:t>
            </w:r>
          </w:p>
        </w:tc>
        <w:tc>
          <w:tcPr>
            <w:tcW w:w="1984" w:type="dxa"/>
          </w:tcPr>
          <w:p w14:paraId="3EE57E82" w14:textId="77777777" w:rsidR="00E12FEC" w:rsidRPr="00973BEF" w:rsidRDefault="00E12FEC" w:rsidP="00973BEF">
            <w:pPr>
              <w:rPr>
                <w:rFonts w:ascii="Arial" w:eastAsia="Times New Roman" w:hAnsi="Arial" w:cs="Arial"/>
                <w:b/>
                <w:bCs/>
                <w:lang w:eastAsia="en-AU"/>
              </w:rPr>
            </w:pPr>
          </w:p>
        </w:tc>
        <w:tc>
          <w:tcPr>
            <w:tcW w:w="2058" w:type="dxa"/>
          </w:tcPr>
          <w:p w14:paraId="05331CDE" w14:textId="77777777" w:rsidR="00E12FEC" w:rsidRPr="00973BEF" w:rsidRDefault="00E12FEC" w:rsidP="00973BEF">
            <w:pPr>
              <w:rPr>
                <w:rFonts w:ascii="Arial" w:eastAsia="Times New Roman" w:hAnsi="Arial" w:cs="Arial"/>
                <w:b/>
                <w:bCs/>
                <w:lang w:eastAsia="en-AU"/>
              </w:rPr>
            </w:pPr>
          </w:p>
        </w:tc>
      </w:tr>
      <w:tr w:rsidR="00AD245F" w:rsidRPr="00973BEF" w14:paraId="6B0EB22C" w14:textId="77777777" w:rsidTr="004E6748">
        <w:tc>
          <w:tcPr>
            <w:tcW w:w="4248" w:type="dxa"/>
          </w:tcPr>
          <w:p w14:paraId="615AA9CE"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Total</w:t>
            </w:r>
          </w:p>
        </w:tc>
        <w:tc>
          <w:tcPr>
            <w:tcW w:w="1984" w:type="dxa"/>
          </w:tcPr>
          <w:p w14:paraId="6E3124F1"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100%</w:t>
            </w:r>
          </w:p>
        </w:tc>
        <w:tc>
          <w:tcPr>
            <w:tcW w:w="2058" w:type="dxa"/>
          </w:tcPr>
          <w:p w14:paraId="6E631AF9" w14:textId="330677A4" w:rsidR="00AD245F" w:rsidRPr="00973BEF" w:rsidRDefault="00845909" w:rsidP="00973BEF">
            <w:pPr>
              <w:rPr>
                <w:rFonts w:ascii="Arial" w:eastAsia="Times New Roman" w:hAnsi="Arial" w:cs="Arial"/>
                <w:b/>
                <w:bCs/>
                <w:lang w:eastAsia="en-AU"/>
              </w:rPr>
            </w:pPr>
            <w:r w:rsidRPr="00973BEF">
              <w:rPr>
                <w:rFonts w:ascii="Arial" w:eastAsia="Times New Roman" w:hAnsi="Arial" w:cs="Arial"/>
                <w:b/>
                <w:bCs/>
                <w:lang w:eastAsia="en-AU"/>
              </w:rPr>
              <w:t>$</w:t>
            </w:r>
          </w:p>
        </w:tc>
      </w:tr>
    </w:tbl>
    <w:p w14:paraId="2DD63B98" w14:textId="2B03910C" w:rsidR="00AF1DD7" w:rsidRPr="00973BEF" w:rsidRDefault="00AF1DD7" w:rsidP="00973BEF">
      <w:pPr>
        <w:rPr>
          <w:rFonts w:ascii="Arial" w:eastAsia="Times New Roman" w:hAnsi="Arial" w:cs="Arial"/>
          <w:lang w:eastAsia="en-AU"/>
        </w:rPr>
      </w:pPr>
    </w:p>
    <w:p w14:paraId="42E036F3" w14:textId="77777777" w:rsidR="00AF1DD7" w:rsidRPr="00973BEF" w:rsidRDefault="00AF1DD7" w:rsidP="00973BEF">
      <w:pPr>
        <w:rPr>
          <w:rFonts w:ascii="Arial" w:eastAsia="Times New Roman" w:hAnsi="Arial" w:cs="Arial"/>
          <w:lang w:eastAsia="en-AU"/>
        </w:rPr>
      </w:pPr>
      <w:r w:rsidRPr="00973BEF">
        <w:rPr>
          <w:rFonts w:ascii="Arial" w:eastAsia="Times New Roman" w:hAnsi="Arial" w:cs="Arial"/>
          <w:lang w:eastAsia="en-AU"/>
        </w:rPr>
        <w:br w:type="page"/>
      </w:r>
    </w:p>
    <w:p w14:paraId="6F2AD132" w14:textId="62401A6A" w:rsidR="0087110C" w:rsidRDefault="0087110C" w:rsidP="00973BEF">
      <w:pPr>
        <w:pStyle w:val="Heading2"/>
        <w:numPr>
          <w:ilvl w:val="0"/>
          <w:numId w:val="5"/>
        </w:numPr>
        <w:ind w:left="0" w:firstLine="0"/>
        <w:rPr>
          <w:rFonts w:ascii="Arial" w:hAnsi="Arial" w:cs="Arial"/>
          <w:b/>
        </w:rPr>
      </w:pPr>
      <w:bookmarkStart w:id="5" w:name="_Toc52180445"/>
      <w:r w:rsidRPr="00973BEF">
        <w:rPr>
          <w:rFonts w:ascii="Arial" w:hAnsi="Arial" w:cs="Arial"/>
          <w:b/>
        </w:rPr>
        <w:lastRenderedPageBreak/>
        <w:t xml:space="preserve">About Centuria Capital Group </w:t>
      </w:r>
      <w:bookmarkEnd w:id="5"/>
    </w:p>
    <w:p w14:paraId="6BF3DC43" w14:textId="77777777" w:rsidR="00973BEF" w:rsidRPr="00973BEF" w:rsidRDefault="00973BEF" w:rsidP="00973BEF">
      <w:pPr>
        <w:rPr>
          <w:lang w:val="en-AU"/>
        </w:rPr>
      </w:pPr>
    </w:p>
    <w:p w14:paraId="2D20009E" w14:textId="3CA1A543"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Centuria Capital Group is an established specialist investment manager that operates under the ASX code CNI. With $</w:t>
      </w:r>
      <w:r w:rsidR="00F63423">
        <w:rPr>
          <w:rFonts w:ascii="Arial" w:eastAsia="Times New Roman" w:hAnsi="Arial" w:cs="Arial"/>
          <w:bCs/>
          <w:sz w:val="22"/>
          <w:szCs w:val="22"/>
          <w:lang w:eastAsia="en-AU"/>
        </w:rPr>
        <w:t>2</w:t>
      </w:r>
      <w:r w:rsidR="00DF6327">
        <w:rPr>
          <w:rFonts w:ascii="Arial" w:eastAsia="Times New Roman" w:hAnsi="Arial" w:cs="Arial"/>
          <w:bCs/>
          <w:sz w:val="22"/>
          <w:szCs w:val="22"/>
          <w:lang w:eastAsia="en-AU"/>
        </w:rPr>
        <w:t>1</w:t>
      </w:r>
      <w:r w:rsidR="00DC4EF9">
        <w:rPr>
          <w:rFonts w:ascii="Arial" w:eastAsia="Times New Roman" w:hAnsi="Arial" w:cs="Arial"/>
          <w:bCs/>
          <w:sz w:val="22"/>
          <w:szCs w:val="22"/>
          <w:lang w:eastAsia="en-AU"/>
        </w:rPr>
        <w:t>.1</w:t>
      </w:r>
      <w:r w:rsidR="009B4310">
        <w:rPr>
          <w:rStyle w:val="FootnoteReference"/>
          <w:rFonts w:ascii="Arial" w:eastAsia="Times New Roman" w:hAnsi="Arial" w:cs="Arial"/>
          <w:bCs/>
          <w:sz w:val="22"/>
          <w:szCs w:val="22"/>
          <w:lang w:eastAsia="en-AU"/>
        </w:rPr>
        <w:footnoteReference w:id="1"/>
      </w:r>
      <w:r w:rsidRPr="00973BEF">
        <w:rPr>
          <w:rFonts w:ascii="Arial" w:eastAsia="Times New Roman" w:hAnsi="Arial" w:cs="Arial"/>
          <w:bCs/>
          <w:sz w:val="22"/>
          <w:szCs w:val="22"/>
          <w:lang w:eastAsia="en-AU"/>
        </w:rPr>
        <w:t xml:space="preserve"> billion of assets under management, Centuria Capital Group provides investors with exposure to quality real estate and investment bond sectors. </w:t>
      </w:r>
    </w:p>
    <w:p w14:paraId="721D59FA" w14:textId="77777777" w:rsidR="0087110C" w:rsidRPr="00973BEF" w:rsidRDefault="0087110C" w:rsidP="00973BEF">
      <w:pPr>
        <w:rPr>
          <w:rFonts w:ascii="Arial" w:eastAsia="Times New Roman" w:hAnsi="Arial" w:cs="Arial"/>
          <w:bCs/>
          <w:sz w:val="22"/>
          <w:szCs w:val="22"/>
          <w:lang w:eastAsia="en-AU"/>
        </w:rPr>
      </w:pPr>
    </w:p>
    <w:p w14:paraId="20BF22B1" w14:textId="6E1D174A"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Real estate funds management is the largest component of the Centuria Capital Group’s platform with $</w:t>
      </w:r>
      <w:r w:rsidR="00DF6327">
        <w:rPr>
          <w:rFonts w:ascii="Arial" w:eastAsia="Times New Roman" w:hAnsi="Arial" w:cs="Arial"/>
          <w:bCs/>
          <w:sz w:val="22"/>
          <w:szCs w:val="22"/>
          <w:lang w:eastAsia="en-AU"/>
        </w:rPr>
        <w:t>20.</w:t>
      </w:r>
      <w:r w:rsidR="003E50B6">
        <w:rPr>
          <w:rFonts w:ascii="Arial" w:eastAsia="Times New Roman" w:hAnsi="Arial" w:cs="Arial"/>
          <w:bCs/>
          <w:sz w:val="22"/>
          <w:szCs w:val="22"/>
          <w:lang w:eastAsia="en-AU"/>
        </w:rPr>
        <w:t>3</w:t>
      </w:r>
      <w:r w:rsidR="00565D1D" w:rsidRPr="00565D1D">
        <w:rPr>
          <w:rFonts w:ascii="Arial" w:eastAsia="Times New Roman" w:hAnsi="Arial" w:cs="Arial"/>
          <w:bCs/>
          <w:sz w:val="22"/>
          <w:szCs w:val="22"/>
          <w:vertAlign w:val="superscript"/>
          <w:lang w:eastAsia="en-AU"/>
        </w:rPr>
        <w:t>1</w:t>
      </w:r>
      <w:r w:rsidRPr="00973BEF">
        <w:rPr>
          <w:rFonts w:ascii="Arial" w:eastAsia="Times New Roman" w:hAnsi="Arial" w:cs="Arial"/>
          <w:bCs/>
          <w:sz w:val="22"/>
          <w:szCs w:val="22"/>
          <w:lang w:eastAsia="en-AU"/>
        </w:rPr>
        <w:t xml:space="preserve"> billion of assets under management that is underpinned by listed real estate investment trusts (AREITs) and a range of unlisted funds. Centuria’s integrated property platform delivers expertise in origination, capital sourcing and funds management along with asset and property management, facilities management and property value add initiatives with a strong focus on identifying and meeting the needs of our tenant customers whilst seeking opportunities to create value for our investors. </w:t>
      </w:r>
    </w:p>
    <w:p w14:paraId="7BCF822B" w14:textId="77777777" w:rsidR="0087110C" w:rsidRPr="00973BEF" w:rsidRDefault="0087110C" w:rsidP="00973BEF">
      <w:pPr>
        <w:rPr>
          <w:rFonts w:ascii="Arial" w:eastAsia="Times New Roman" w:hAnsi="Arial" w:cs="Arial"/>
          <w:bCs/>
          <w:sz w:val="22"/>
          <w:szCs w:val="22"/>
          <w:lang w:eastAsia="en-AU"/>
        </w:rPr>
      </w:pPr>
    </w:p>
    <w:p w14:paraId="4B51FEC3" w14:textId="63C873CC"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Centuria’s drive, knowledge and intimate understanding of the real estate and investment bonds universe, allows them to transform opportunities into meaningful investments </w:t>
      </w:r>
      <w:r w:rsidR="00FF5FAB" w:rsidRPr="00973BEF">
        <w:rPr>
          <w:rFonts w:ascii="Arial" w:eastAsia="Times New Roman" w:hAnsi="Arial" w:cs="Arial"/>
          <w:bCs/>
          <w:sz w:val="22"/>
          <w:szCs w:val="22"/>
          <w:lang w:eastAsia="en-AU"/>
        </w:rPr>
        <w:t>centered</w:t>
      </w:r>
      <w:r w:rsidRPr="00973BEF">
        <w:rPr>
          <w:rFonts w:ascii="Arial" w:eastAsia="Times New Roman" w:hAnsi="Arial" w:cs="Arial"/>
          <w:bCs/>
          <w:sz w:val="22"/>
          <w:szCs w:val="22"/>
          <w:lang w:eastAsia="en-AU"/>
        </w:rPr>
        <w:t xml:space="preserve"> around clients and their investment profiles. Further information can be found on our website </w:t>
      </w:r>
      <w:r w:rsidR="00A557BE" w:rsidRPr="00973BEF">
        <w:rPr>
          <w:rFonts w:ascii="Arial" w:eastAsia="Times New Roman" w:hAnsi="Arial" w:cs="Arial"/>
          <w:bCs/>
          <w:sz w:val="22"/>
          <w:szCs w:val="22"/>
          <w:lang w:eastAsia="en-AU"/>
        </w:rPr>
        <w:t>www.</w:t>
      </w:r>
      <w:r w:rsidRPr="00973BEF">
        <w:rPr>
          <w:rFonts w:ascii="Arial" w:eastAsia="Times New Roman" w:hAnsi="Arial" w:cs="Arial"/>
          <w:bCs/>
          <w:sz w:val="22"/>
          <w:szCs w:val="22"/>
          <w:lang w:eastAsia="en-AU"/>
        </w:rPr>
        <w:t>centuria.com.au.</w:t>
      </w:r>
    </w:p>
    <w:p w14:paraId="192C9F5F" w14:textId="5FEAC7F7" w:rsidR="0087110C" w:rsidRPr="00973BEF" w:rsidRDefault="0087110C" w:rsidP="00973BEF">
      <w:pPr>
        <w:rPr>
          <w:rFonts w:ascii="Arial" w:eastAsia="Times New Roman" w:hAnsi="Arial" w:cs="Arial"/>
          <w:bCs/>
          <w:sz w:val="22"/>
          <w:szCs w:val="22"/>
          <w:lang w:eastAsia="en-AU"/>
        </w:rPr>
      </w:pPr>
    </w:p>
    <w:p w14:paraId="4D06415F" w14:textId="1000D253" w:rsidR="0087110C" w:rsidRPr="00763B36" w:rsidRDefault="0087110C" w:rsidP="00973BEF">
      <w:pPr>
        <w:rPr>
          <w:rFonts w:ascii="Arial" w:eastAsia="Times New Roman" w:hAnsi="Arial" w:cs="Arial"/>
          <w:b/>
          <w:sz w:val="22"/>
          <w:szCs w:val="22"/>
          <w:lang w:eastAsia="en-AU"/>
        </w:rPr>
      </w:pPr>
      <w:r w:rsidRPr="00763B36">
        <w:rPr>
          <w:rFonts w:ascii="Arial" w:eastAsia="Times New Roman" w:hAnsi="Arial" w:cs="Arial"/>
          <w:b/>
          <w:sz w:val="22"/>
          <w:szCs w:val="22"/>
          <w:lang w:eastAsia="en-AU"/>
        </w:rPr>
        <w:t>Centuria Life</w:t>
      </w:r>
    </w:p>
    <w:p w14:paraId="6951D6BB" w14:textId="331664B5" w:rsidR="0087110C" w:rsidRPr="00973BEF" w:rsidRDefault="0087110C" w:rsidP="00973BEF">
      <w:pPr>
        <w:rPr>
          <w:rFonts w:ascii="Arial" w:eastAsia="Times New Roman" w:hAnsi="Arial" w:cs="Arial"/>
          <w:bCs/>
          <w:sz w:val="22"/>
          <w:szCs w:val="22"/>
          <w:lang w:eastAsia="en-AU"/>
        </w:rPr>
      </w:pPr>
    </w:p>
    <w:p w14:paraId="481EF477" w14:textId="5A0BACB9"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Life is the </w:t>
      </w:r>
      <w:r w:rsidR="001D227D">
        <w:rPr>
          <w:rFonts w:ascii="Arial" w:eastAsia="Times New Roman" w:hAnsi="Arial" w:cs="Arial"/>
          <w:bCs/>
          <w:sz w:val="22"/>
          <w:szCs w:val="22"/>
          <w:lang w:eastAsia="en-AU"/>
        </w:rPr>
        <w:t>fifth</w:t>
      </w:r>
      <w:r w:rsidR="001D227D" w:rsidRPr="00973BEF">
        <w:rPr>
          <w:rFonts w:ascii="Arial" w:eastAsia="Times New Roman" w:hAnsi="Arial" w:cs="Arial"/>
          <w:bCs/>
          <w:sz w:val="22"/>
          <w:szCs w:val="22"/>
          <w:lang w:eastAsia="en-AU"/>
        </w:rPr>
        <w:t xml:space="preserve"> </w:t>
      </w:r>
      <w:r w:rsidRPr="00973BEF">
        <w:rPr>
          <w:rFonts w:ascii="Arial" w:eastAsia="Times New Roman" w:hAnsi="Arial" w:cs="Arial"/>
          <w:bCs/>
          <w:sz w:val="22"/>
          <w:szCs w:val="22"/>
          <w:lang w:eastAsia="en-AU"/>
        </w:rPr>
        <w:t>largest investment bond provider in Australia’s $</w:t>
      </w:r>
      <w:r w:rsidR="005C37DB">
        <w:rPr>
          <w:rFonts w:ascii="Arial" w:eastAsia="Times New Roman" w:hAnsi="Arial" w:cs="Arial"/>
          <w:bCs/>
          <w:sz w:val="22"/>
          <w:szCs w:val="22"/>
          <w:lang w:eastAsia="en-AU"/>
        </w:rPr>
        <w:t>9</w:t>
      </w:r>
      <w:r w:rsidRPr="00973BEF">
        <w:rPr>
          <w:rFonts w:ascii="Arial" w:eastAsia="Times New Roman" w:hAnsi="Arial" w:cs="Arial"/>
          <w:bCs/>
          <w:sz w:val="22"/>
          <w:szCs w:val="22"/>
          <w:lang w:eastAsia="en-AU"/>
        </w:rPr>
        <w:t>.</w:t>
      </w:r>
      <w:r w:rsidR="005C37DB">
        <w:rPr>
          <w:rFonts w:ascii="Arial" w:eastAsia="Times New Roman" w:hAnsi="Arial" w:cs="Arial"/>
          <w:bCs/>
          <w:sz w:val="22"/>
          <w:szCs w:val="22"/>
          <w:lang w:eastAsia="en-AU"/>
        </w:rPr>
        <w:t>8</w:t>
      </w:r>
      <w:r w:rsidRPr="00973BEF">
        <w:rPr>
          <w:rFonts w:ascii="Arial" w:eastAsia="Times New Roman" w:hAnsi="Arial" w:cs="Arial"/>
          <w:bCs/>
          <w:sz w:val="22"/>
          <w:szCs w:val="22"/>
          <w:lang w:eastAsia="en-AU"/>
        </w:rPr>
        <w:t xml:space="preserve"> billion</w:t>
      </w:r>
      <w:r w:rsidR="009B4310">
        <w:rPr>
          <w:rStyle w:val="FootnoteReference"/>
          <w:rFonts w:ascii="Arial" w:eastAsia="Times New Roman" w:hAnsi="Arial" w:cs="Arial"/>
          <w:bCs/>
          <w:sz w:val="22"/>
          <w:szCs w:val="22"/>
          <w:lang w:eastAsia="en-AU"/>
        </w:rPr>
        <w:footnoteReference w:id="2"/>
      </w:r>
      <w:r w:rsidRPr="00973BEF">
        <w:rPr>
          <w:rFonts w:ascii="Arial" w:eastAsia="Times New Roman" w:hAnsi="Arial" w:cs="Arial"/>
          <w:bCs/>
          <w:sz w:val="22"/>
          <w:szCs w:val="22"/>
          <w:lang w:eastAsia="en-AU"/>
        </w:rPr>
        <w:t xml:space="preserve">  investment bond market. For more than 35 years, Centuria Life has focused on offering flexible, tax effective investment options. </w:t>
      </w:r>
    </w:p>
    <w:p w14:paraId="0B69B6A7" w14:textId="77777777" w:rsidR="0087110C" w:rsidRPr="00973BEF" w:rsidRDefault="0087110C" w:rsidP="00973BEF">
      <w:pPr>
        <w:rPr>
          <w:rFonts w:ascii="Arial" w:eastAsia="Times New Roman" w:hAnsi="Arial" w:cs="Arial"/>
          <w:bCs/>
          <w:sz w:val="22"/>
          <w:szCs w:val="22"/>
          <w:lang w:eastAsia="en-AU"/>
        </w:rPr>
      </w:pPr>
    </w:p>
    <w:p w14:paraId="19E5638D" w14:textId="76E05567"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In </w:t>
      </w:r>
      <w:r w:rsidR="001D227D">
        <w:rPr>
          <w:rFonts w:ascii="Arial" w:eastAsia="Times New Roman" w:hAnsi="Arial" w:cs="Arial"/>
          <w:bCs/>
          <w:sz w:val="22"/>
          <w:szCs w:val="22"/>
          <w:lang w:eastAsia="en-AU"/>
        </w:rPr>
        <w:t>HY2</w:t>
      </w:r>
      <w:r w:rsidR="00D27FDE">
        <w:rPr>
          <w:rFonts w:ascii="Arial" w:eastAsia="Times New Roman" w:hAnsi="Arial" w:cs="Arial"/>
          <w:bCs/>
          <w:sz w:val="22"/>
          <w:szCs w:val="22"/>
          <w:lang w:eastAsia="en-AU"/>
        </w:rPr>
        <w:t>3</w:t>
      </w:r>
      <w:r w:rsidRPr="00973BEF">
        <w:rPr>
          <w:rFonts w:ascii="Arial" w:eastAsia="Times New Roman" w:hAnsi="Arial" w:cs="Arial"/>
          <w:bCs/>
          <w:sz w:val="22"/>
          <w:szCs w:val="22"/>
          <w:lang w:eastAsia="en-AU"/>
        </w:rPr>
        <w:t>, investment bonds represented $0.</w:t>
      </w:r>
      <w:r w:rsidR="00D27FDE">
        <w:rPr>
          <w:rFonts w:ascii="Arial" w:eastAsia="Times New Roman" w:hAnsi="Arial" w:cs="Arial"/>
          <w:bCs/>
          <w:sz w:val="22"/>
          <w:szCs w:val="22"/>
          <w:lang w:eastAsia="en-AU"/>
        </w:rPr>
        <w:t>8</w:t>
      </w:r>
      <w:r w:rsidRPr="00973BEF">
        <w:rPr>
          <w:rFonts w:ascii="Arial" w:eastAsia="Times New Roman" w:hAnsi="Arial" w:cs="Arial"/>
          <w:bCs/>
          <w:sz w:val="22"/>
          <w:szCs w:val="22"/>
          <w:lang w:eastAsia="en-AU"/>
        </w:rPr>
        <w:t xml:space="preserve"> billion of AUM across unitised bonds, Guardian prepaid funeral plans</w:t>
      </w:r>
      <w:r w:rsidR="009B4310">
        <w:rPr>
          <w:rStyle w:val="FootnoteReference"/>
          <w:rFonts w:ascii="Arial" w:eastAsia="Times New Roman" w:hAnsi="Arial" w:cs="Arial"/>
          <w:bCs/>
          <w:sz w:val="22"/>
          <w:szCs w:val="22"/>
          <w:lang w:eastAsia="en-AU"/>
        </w:rPr>
        <w:footnoteReference w:id="3"/>
      </w:r>
      <w:r w:rsidR="009B4310">
        <w:rPr>
          <w:rFonts w:ascii="Arial" w:eastAsia="Times New Roman" w:hAnsi="Arial" w:cs="Arial"/>
          <w:bCs/>
          <w:sz w:val="22"/>
          <w:szCs w:val="22"/>
          <w:lang w:eastAsia="en-AU"/>
        </w:rPr>
        <w:t xml:space="preserve"> </w:t>
      </w:r>
      <w:r w:rsidRPr="00973BEF">
        <w:rPr>
          <w:rFonts w:ascii="Arial" w:eastAsia="Times New Roman" w:hAnsi="Arial" w:cs="Arial"/>
          <w:bCs/>
          <w:sz w:val="22"/>
          <w:szCs w:val="22"/>
          <w:lang w:eastAsia="en-AU"/>
        </w:rPr>
        <w:t xml:space="preserve">and the recently launched Centuria LifeGoals. </w:t>
      </w:r>
    </w:p>
    <w:p w14:paraId="4A092EB2" w14:textId="5D514558" w:rsidR="000D0928" w:rsidRPr="00973BEF" w:rsidRDefault="000D0928" w:rsidP="00973BEF">
      <w:pPr>
        <w:rPr>
          <w:rFonts w:ascii="Arial" w:eastAsia="Times New Roman" w:hAnsi="Arial" w:cs="Arial"/>
          <w:bCs/>
          <w:lang w:eastAsia="en-AU"/>
        </w:rPr>
      </w:pPr>
    </w:p>
    <w:p w14:paraId="3E8D7747" w14:textId="7815486F" w:rsidR="001B35E7" w:rsidRPr="00973BEF" w:rsidRDefault="001B35E7" w:rsidP="00973BEF">
      <w:pPr>
        <w:rPr>
          <w:rFonts w:ascii="Arial" w:eastAsia="Times New Roman" w:hAnsi="Arial" w:cs="Arial"/>
          <w:bCs/>
          <w:sz w:val="20"/>
          <w:szCs w:val="20"/>
          <w:lang w:eastAsia="en-AU"/>
        </w:rPr>
      </w:pPr>
      <w:r w:rsidRPr="00973BEF">
        <w:rPr>
          <w:rFonts w:ascii="Arial" w:eastAsia="Times New Roman" w:hAnsi="Arial" w:cs="Arial"/>
          <w:bCs/>
          <w:sz w:val="20"/>
          <w:szCs w:val="20"/>
          <w:lang w:eastAsia="en-AU"/>
        </w:rPr>
        <w:br w:type="page"/>
      </w:r>
    </w:p>
    <w:p w14:paraId="56598487" w14:textId="71B3CDA7" w:rsidR="00AD245F" w:rsidRPr="00973BEF" w:rsidRDefault="00AD245F" w:rsidP="00973BEF">
      <w:pPr>
        <w:pStyle w:val="Heading2"/>
        <w:numPr>
          <w:ilvl w:val="0"/>
          <w:numId w:val="5"/>
        </w:numPr>
        <w:ind w:left="0" w:firstLine="0"/>
        <w:rPr>
          <w:rFonts w:ascii="Arial" w:hAnsi="Arial" w:cs="Arial"/>
          <w:b/>
        </w:rPr>
      </w:pPr>
      <w:bookmarkStart w:id="6" w:name="_Toc52180446"/>
      <w:r w:rsidRPr="00973BEF">
        <w:rPr>
          <w:rFonts w:ascii="Arial" w:hAnsi="Arial" w:cs="Arial"/>
          <w:b/>
        </w:rPr>
        <w:lastRenderedPageBreak/>
        <w:t>About Centuria LifeGoals</w:t>
      </w:r>
      <w:bookmarkEnd w:id="6"/>
    </w:p>
    <w:p w14:paraId="433E0C8E" w14:textId="77777777" w:rsidR="00AD245F" w:rsidRPr="00973BEF" w:rsidRDefault="00AD245F" w:rsidP="00973BEF">
      <w:pPr>
        <w:rPr>
          <w:rFonts w:ascii="Arial" w:eastAsia="Times New Roman" w:hAnsi="Arial" w:cs="Arial"/>
          <w:bCs/>
          <w:lang w:eastAsia="en-AU"/>
        </w:rPr>
      </w:pPr>
    </w:p>
    <w:p w14:paraId="3E747170" w14:textId="77777777"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Centuria LifeGoals can assist investors who want their investment, tax planning and estate planning needs covered in one simple investment solution.</w:t>
      </w:r>
    </w:p>
    <w:p w14:paraId="1430A4F7" w14:textId="77777777" w:rsidR="00AD245F" w:rsidRPr="00973BEF" w:rsidRDefault="00AD245F" w:rsidP="00973BEF">
      <w:pPr>
        <w:rPr>
          <w:rFonts w:ascii="Arial" w:eastAsia="Times New Roman" w:hAnsi="Arial" w:cs="Arial"/>
          <w:bCs/>
          <w:sz w:val="22"/>
          <w:szCs w:val="22"/>
          <w:lang w:eastAsia="en-AU"/>
        </w:rPr>
      </w:pPr>
    </w:p>
    <w:p w14:paraId="293551F4" w14:textId="511C210B"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Centuria LifeGoals may be attractive for investors seeking a tax-effective investment over the medium to long-term (including those who are paying tax at a marginal rate of more than 30%) and who wish to reduce their annual tax-reporting obligations. It may also be used as an alternative to, or complementary with, your other investments including superannuation</w:t>
      </w:r>
      <w:r w:rsidR="00AF1DD7" w:rsidRPr="00973BEF">
        <w:rPr>
          <w:rFonts w:ascii="Arial" w:eastAsia="Times New Roman" w:hAnsi="Arial" w:cs="Arial"/>
          <w:bCs/>
          <w:sz w:val="22"/>
          <w:szCs w:val="22"/>
          <w:lang w:eastAsia="en-AU"/>
        </w:rPr>
        <w:t xml:space="preserve"> and managed funds</w:t>
      </w:r>
      <w:r w:rsidRPr="00973BEF">
        <w:rPr>
          <w:rFonts w:ascii="Arial" w:eastAsia="Times New Roman" w:hAnsi="Arial" w:cs="Arial"/>
          <w:bCs/>
          <w:sz w:val="22"/>
          <w:szCs w:val="22"/>
          <w:lang w:eastAsia="en-AU"/>
        </w:rPr>
        <w:t>.</w:t>
      </w:r>
    </w:p>
    <w:p w14:paraId="7D95B648" w14:textId="77777777" w:rsidR="00AD245F" w:rsidRPr="00973BEF" w:rsidRDefault="00AD245F" w:rsidP="00973BEF">
      <w:pPr>
        <w:rPr>
          <w:rFonts w:ascii="Arial" w:eastAsia="Times New Roman" w:hAnsi="Arial" w:cs="Arial"/>
          <w:bCs/>
          <w:sz w:val="22"/>
          <w:szCs w:val="22"/>
          <w:lang w:eastAsia="en-AU"/>
        </w:rPr>
      </w:pPr>
    </w:p>
    <w:p w14:paraId="737EF4A5" w14:textId="77A29675"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LifeGoals </w:t>
      </w:r>
      <w:r w:rsidR="00A23089" w:rsidRPr="00973BEF">
        <w:rPr>
          <w:rFonts w:ascii="Arial" w:eastAsia="Times New Roman" w:hAnsi="Arial" w:cs="Arial"/>
          <w:bCs/>
          <w:sz w:val="22"/>
          <w:szCs w:val="22"/>
          <w:lang w:eastAsia="en-AU"/>
        </w:rPr>
        <w:t xml:space="preserve">is </w:t>
      </w:r>
      <w:r w:rsidRPr="00973BEF">
        <w:rPr>
          <w:rFonts w:ascii="Arial" w:eastAsia="Times New Roman" w:hAnsi="Arial" w:cs="Arial"/>
          <w:bCs/>
          <w:sz w:val="22"/>
          <w:szCs w:val="22"/>
          <w:lang w:eastAsia="en-AU"/>
        </w:rPr>
        <w:t>a tax-paid investment product. Tax on the annual earnings of the Investment Options is reported and paid by Centuria Life at a maximum rate of 30%, less any applicable tax offsets, such as franking credits from shares and allowable deductions. This means that Investors do not need to declare earnings from Investment Options in their personal tax returns while they remain invested. Unlike shares, term deposits and managed funds, performance returns for the Investment Options are quoted net, or after, the payment of taxes by Centuria Life and fees.</w:t>
      </w:r>
    </w:p>
    <w:p w14:paraId="687C4DF5" w14:textId="77777777" w:rsidR="00AD245F" w:rsidRPr="00973BEF" w:rsidRDefault="00AD245F" w:rsidP="00973BEF">
      <w:pPr>
        <w:rPr>
          <w:rFonts w:ascii="Arial" w:eastAsia="Times New Roman" w:hAnsi="Arial" w:cs="Arial"/>
          <w:bCs/>
          <w:sz w:val="22"/>
          <w:szCs w:val="22"/>
          <w:lang w:eastAsia="en-AU"/>
        </w:rPr>
      </w:pPr>
    </w:p>
    <w:p w14:paraId="03C79F20" w14:textId="1ED70BED" w:rsidR="00AD245F"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I</w:t>
      </w:r>
      <w:r w:rsidR="00AD245F" w:rsidRPr="00973BEF">
        <w:rPr>
          <w:rFonts w:ascii="Arial" w:eastAsia="Times New Roman" w:hAnsi="Arial" w:cs="Arial"/>
          <w:bCs/>
          <w:sz w:val="22"/>
          <w:szCs w:val="22"/>
          <w:lang w:eastAsia="en-AU"/>
        </w:rPr>
        <w:t xml:space="preserve">f you hold your investment for 10 years or more, you pay no additional tax on your investment withdrawals. If you withdraw prior to this, you will </w:t>
      </w:r>
      <w:r w:rsidRPr="00973BEF">
        <w:rPr>
          <w:rFonts w:ascii="Arial" w:eastAsia="Times New Roman" w:hAnsi="Arial" w:cs="Arial"/>
          <w:bCs/>
          <w:sz w:val="22"/>
          <w:szCs w:val="22"/>
          <w:lang w:eastAsia="en-AU"/>
        </w:rPr>
        <w:t>receive a</w:t>
      </w:r>
      <w:r w:rsidR="00AD245F" w:rsidRPr="00973BEF">
        <w:rPr>
          <w:rFonts w:ascii="Arial" w:eastAsia="Times New Roman" w:hAnsi="Arial" w:cs="Arial"/>
          <w:bCs/>
          <w:sz w:val="22"/>
          <w:szCs w:val="22"/>
          <w:lang w:eastAsia="en-AU"/>
        </w:rPr>
        <w:t xml:space="preserve"> 30% </w:t>
      </w:r>
      <w:r w:rsidRPr="00973BEF">
        <w:rPr>
          <w:rFonts w:ascii="Arial" w:eastAsia="Times New Roman" w:hAnsi="Arial" w:cs="Arial"/>
          <w:bCs/>
          <w:sz w:val="22"/>
          <w:szCs w:val="22"/>
          <w:lang w:eastAsia="en-AU"/>
        </w:rPr>
        <w:t>offset on the earnings against your marginal tax rate</w:t>
      </w:r>
      <w:r w:rsidR="00AD245F" w:rsidRPr="00973BEF">
        <w:rPr>
          <w:rFonts w:ascii="Arial" w:eastAsia="Times New Roman" w:hAnsi="Arial" w:cs="Arial"/>
          <w:bCs/>
          <w:sz w:val="22"/>
          <w:szCs w:val="22"/>
          <w:lang w:eastAsia="en-AU"/>
        </w:rPr>
        <w:t>. In years 9 and 10 this difference is discounted by one-third and two- thirds respectively.</w:t>
      </w:r>
    </w:p>
    <w:p w14:paraId="1C30506A" w14:textId="77777777" w:rsidR="00AD245F" w:rsidRPr="00973BEF" w:rsidRDefault="00AD245F" w:rsidP="00973BEF">
      <w:pPr>
        <w:rPr>
          <w:rFonts w:ascii="Arial" w:eastAsia="Times New Roman" w:hAnsi="Arial" w:cs="Arial"/>
          <w:bCs/>
          <w:sz w:val="22"/>
          <w:szCs w:val="22"/>
          <w:lang w:eastAsia="en-AU"/>
        </w:rPr>
      </w:pPr>
    </w:p>
    <w:p w14:paraId="0489B86B" w14:textId="018E44D5"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LifeGoals have features </w:t>
      </w:r>
      <w:r w:rsidR="000D0928" w:rsidRPr="00973BEF">
        <w:rPr>
          <w:rFonts w:ascii="Arial" w:eastAsia="Times New Roman" w:hAnsi="Arial" w:cs="Arial"/>
          <w:bCs/>
          <w:sz w:val="22"/>
          <w:szCs w:val="22"/>
          <w:lang w:eastAsia="en-AU"/>
        </w:rPr>
        <w:t>like</w:t>
      </w:r>
      <w:r w:rsidRPr="00973BEF">
        <w:rPr>
          <w:rFonts w:ascii="Arial" w:eastAsia="Times New Roman" w:hAnsi="Arial" w:cs="Arial"/>
          <w:bCs/>
          <w:sz w:val="22"/>
          <w:szCs w:val="22"/>
          <w:lang w:eastAsia="en-AU"/>
        </w:rPr>
        <w:t xml:space="preserve"> a managed fund investment combined with a life insurance policy. First, the Investor chooses the Investment Options from across multiple asset classes and diversified funds. Then the Investor selects a natural person (Life Insured) upon whose death the investment will mature (that is, become payable). If no selection is made, the Investor is also the Life Insured.</w:t>
      </w:r>
    </w:p>
    <w:p w14:paraId="20CCFD99" w14:textId="732988EE" w:rsidR="001921DD" w:rsidRPr="00973BEF" w:rsidRDefault="001921DD" w:rsidP="00973BEF">
      <w:pPr>
        <w:rPr>
          <w:rFonts w:ascii="Arial" w:eastAsia="Times New Roman" w:hAnsi="Arial" w:cs="Arial"/>
          <w:bCs/>
          <w:lang w:eastAsia="en-AU"/>
        </w:rPr>
      </w:pPr>
    </w:p>
    <w:p w14:paraId="426FD15E" w14:textId="77777777" w:rsidR="001921DD" w:rsidRPr="00973BEF" w:rsidRDefault="001921DD" w:rsidP="00973BEF">
      <w:pPr>
        <w:rPr>
          <w:rFonts w:ascii="Arial" w:eastAsia="Times New Roman" w:hAnsi="Arial" w:cs="Arial"/>
          <w:b/>
          <w:lang w:eastAsia="en-AU"/>
        </w:rPr>
      </w:pPr>
      <w:r w:rsidRPr="00973BEF">
        <w:rPr>
          <w:rFonts w:ascii="Arial" w:eastAsia="Times New Roman" w:hAnsi="Arial" w:cs="Arial"/>
          <w:b/>
          <w:lang w:eastAsia="en-AU"/>
        </w:rPr>
        <w:t>Investment Options</w:t>
      </w:r>
    </w:p>
    <w:p w14:paraId="56BFD2B9" w14:textId="77777777" w:rsidR="001921DD" w:rsidRPr="00973BEF" w:rsidRDefault="001921DD" w:rsidP="00973BEF">
      <w:pPr>
        <w:rPr>
          <w:rFonts w:ascii="Arial" w:eastAsia="Times New Roman" w:hAnsi="Arial" w:cs="Arial"/>
          <w:bCs/>
          <w:lang w:eastAsia="en-AU"/>
        </w:rPr>
      </w:pPr>
    </w:p>
    <w:p w14:paraId="1803D94D" w14:textId="70B5B13F" w:rsidR="001921DD" w:rsidRPr="00973BEF" w:rsidRDefault="001921DD" w:rsidP="00973BEF">
      <w:pPr>
        <w:autoSpaceDE w:val="0"/>
        <w:autoSpaceDN w:val="0"/>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There are a range of </w:t>
      </w:r>
      <w:r w:rsidR="00363CE8" w:rsidRPr="00973BEF">
        <w:rPr>
          <w:rFonts w:ascii="Arial" w:eastAsia="Times New Roman" w:hAnsi="Arial" w:cs="Arial"/>
          <w:sz w:val="22"/>
          <w:szCs w:val="22"/>
          <w:lang w:eastAsia="en-AU"/>
        </w:rPr>
        <w:t>3</w:t>
      </w:r>
      <w:r w:rsidR="002568CE">
        <w:rPr>
          <w:rFonts w:ascii="Arial" w:eastAsia="Times New Roman" w:hAnsi="Arial" w:cs="Arial"/>
          <w:sz w:val="22"/>
          <w:szCs w:val="22"/>
          <w:lang w:eastAsia="en-AU"/>
        </w:rPr>
        <w:t>7</w:t>
      </w:r>
      <w:r w:rsidRPr="00973BEF">
        <w:rPr>
          <w:rFonts w:ascii="Arial" w:eastAsia="Times New Roman" w:hAnsi="Arial" w:cs="Arial"/>
          <w:sz w:val="22"/>
          <w:szCs w:val="22"/>
          <w:lang w:eastAsia="en-AU"/>
        </w:rPr>
        <w:t xml:space="preserve"> Investment Options to choose from across multiple asset classes and diversified funds. The investment menu, consisting of specialist low-cost index funds and high-quality active investment managers, has been carefully selected by Centuria Life. </w:t>
      </w:r>
      <w:r w:rsidRPr="00973BEF">
        <w:rPr>
          <w:rFonts w:ascii="Arial" w:eastAsia="Times New Roman" w:hAnsi="Arial" w:cs="Arial"/>
          <w:bCs/>
          <w:sz w:val="22"/>
          <w:szCs w:val="22"/>
          <w:lang w:eastAsia="en-AU"/>
        </w:rPr>
        <w:t xml:space="preserve">The selected investment managers will be reviewed on an ongoing basis to monitor whether they are meeting their investment objectives as set out in </w:t>
      </w:r>
      <w:r w:rsidR="00A23089" w:rsidRPr="00973BEF">
        <w:rPr>
          <w:rFonts w:ascii="Arial" w:eastAsia="Times New Roman" w:hAnsi="Arial" w:cs="Arial"/>
          <w:bCs/>
          <w:sz w:val="22"/>
          <w:szCs w:val="22"/>
          <w:lang w:eastAsia="en-AU"/>
        </w:rPr>
        <w:t xml:space="preserve">the </w:t>
      </w:r>
      <w:r w:rsidRPr="00973BEF">
        <w:rPr>
          <w:rFonts w:ascii="Arial" w:eastAsia="Times New Roman" w:hAnsi="Arial" w:cs="Arial"/>
          <w:bCs/>
          <w:sz w:val="22"/>
          <w:szCs w:val="22"/>
          <w:lang w:eastAsia="en-AU"/>
        </w:rPr>
        <w:t xml:space="preserve">PDS. </w:t>
      </w:r>
      <w:r w:rsidR="0070315D" w:rsidRPr="00973BEF">
        <w:rPr>
          <w:rFonts w:ascii="Arial" w:eastAsia="Times New Roman" w:hAnsi="Arial" w:cs="Arial"/>
          <w:bCs/>
          <w:sz w:val="22"/>
          <w:szCs w:val="22"/>
          <w:lang w:eastAsia="en-AU"/>
        </w:rPr>
        <w:t xml:space="preserve">Included in this investment menu are 3 </w:t>
      </w:r>
      <w:proofErr w:type="gramStart"/>
      <w:r w:rsidR="00F06960" w:rsidRPr="00973BEF">
        <w:rPr>
          <w:rFonts w:ascii="Arial" w:eastAsia="Times New Roman" w:hAnsi="Arial" w:cs="Arial"/>
          <w:bCs/>
          <w:sz w:val="22"/>
          <w:szCs w:val="22"/>
          <w:lang w:eastAsia="en-AU"/>
        </w:rPr>
        <w:t>M</w:t>
      </w:r>
      <w:r w:rsidR="0070315D" w:rsidRPr="00973BEF">
        <w:rPr>
          <w:rFonts w:ascii="Arial" w:eastAsia="Times New Roman" w:hAnsi="Arial" w:cs="Arial"/>
          <w:bCs/>
          <w:sz w:val="22"/>
          <w:szCs w:val="22"/>
          <w:lang w:eastAsia="en-AU"/>
        </w:rPr>
        <w:t>ulti</w:t>
      </w:r>
      <w:r w:rsidR="00F06960" w:rsidRPr="00973BEF">
        <w:rPr>
          <w:rFonts w:ascii="Arial" w:eastAsia="Times New Roman" w:hAnsi="Arial" w:cs="Arial"/>
          <w:bCs/>
          <w:sz w:val="22"/>
          <w:szCs w:val="22"/>
          <w:lang w:eastAsia="en-AU"/>
        </w:rPr>
        <w:t>-M</w:t>
      </w:r>
      <w:r w:rsidR="0070315D" w:rsidRPr="00973BEF">
        <w:rPr>
          <w:rFonts w:ascii="Arial" w:eastAsia="Times New Roman" w:hAnsi="Arial" w:cs="Arial"/>
          <w:bCs/>
          <w:sz w:val="22"/>
          <w:szCs w:val="22"/>
          <w:lang w:eastAsia="en-AU"/>
        </w:rPr>
        <w:t>anager</w:t>
      </w:r>
      <w:proofErr w:type="gramEnd"/>
      <w:r w:rsidR="0070315D" w:rsidRPr="00973BEF">
        <w:rPr>
          <w:rFonts w:ascii="Arial" w:eastAsia="Times New Roman" w:hAnsi="Arial" w:cs="Arial"/>
          <w:bCs/>
          <w:sz w:val="22"/>
          <w:szCs w:val="22"/>
          <w:lang w:eastAsia="en-AU"/>
        </w:rPr>
        <w:t xml:space="preserve"> investment options, where the Centuria Investment Committee selects the underlying investments.</w:t>
      </w:r>
      <w:r w:rsidR="0070315D" w:rsidRPr="00973BEF">
        <w:rPr>
          <w:rFonts w:ascii="Arial" w:hAnsi="Arial" w:cs="Arial"/>
          <w:color w:val="000000"/>
          <w:sz w:val="22"/>
          <w:szCs w:val="22"/>
        </w:rPr>
        <w:t xml:space="preserve"> </w:t>
      </w:r>
      <w:r w:rsidRPr="00973BEF">
        <w:rPr>
          <w:rFonts w:ascii="Arial" w:eastAsia="Times New Roman" w:hAnsi="Arial" w:cs="Arial"/>
          <w:bCs/>
          <w:sz w:val="22"/>
          <w:szCs w:val="22"/>
          <w:lang w:eastAsia="en-AU"/>
        </w:rPr>
        <w:t>Investors can switch between investment options at any time at no cost and with</w:t>
      </w:r>
      <w:r w:rsidR="00A23089" w:rsidRPr="00973BEF">
        <w:rPr>
          <w:rFonts w:ascii="Arial" w:eastAsia="Times New Roman" w:hAnsi="Arial" w:cs="Arial"/>
          <w:bCs/>
          <w:sz w:val="22"/>
          <w:szCs w:val="22"/>
          <w:lang w:eastAsia="en-AU"/>
        </w:rPr>
        <w:t xml:space="preserve"> no</w:t>
      </w:r>
      <w:r w:rsidRPr="00973BEF">
        <w:rPr>
          <w:rFonts w:ascii="Arial" w:eastAsia="Times New Roman" w:hAnsi="Arial" w:cs="Arial"/>
          <w:bCs/>
          <w:sz w:val="22"/>
          <w:szCs w:val="22"/>
          <w:lang w:eastAsia="en-AU"/>
        </w:rPr>
        <w:t xml:space="preserve"> taxation consequences</w:t>
      </w:r>
      <w:r w:rsidR="00A23089" w:rsidRPr="00973BEF">
        <w:rPr>
          <w:rFonts w:ascii="Arial" w:eastAsia="Times New Roman" w:hAnsi="Arial" w:cs="Arial"/>
          <w:bCs/>
          <w:sz w:val="22"/>
          <w:szCs w:val="22"/>
          <w:lang w:eastAsia="en-AU"/>
        </w:rPr>
        <w:t>.</w:t>
      </w:r>
    </w:p>
    <w:p w14:paraId="3274A668" w14:textId="77777777" w:rsidR="00AD245F" w:rsidRPr="00973BEF" w:rsidRDefault="00AD245F" w:rsidP="00973BEF">
      <w:pPr>
        <w:rPr>
          <w:rFonts w:ascii="Arial" w:eastAsia="Times New Roman" w:hAnsi="Arial" w:cs="Arial"/>
          <w:bCs/>
          <w:lang w:eastAsia="en-AU"/>
        </w:rPr>
      </w:pPr>
    </w:p>
    <w:p w14:paraId="77BE793B" w14:textId="77777777"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t>Estate Planning</w:t>
      </w:r>
    </w:p>
    <w:p w14:paraId="172EA596" w14:textId="77777777" w:rsidR="00AF1DD7" w:rsidRPr="00973BEF" w:rsidRDefault="00AF1DD7" w:rsidP="00973BEF">
      <w:pPr>
        <w:rPr>
          <w:rFonts w:ascii="Arial" w:eastAsia="Times New Roman" w:hAnsi="Arial" w:cs="Arial"/>
          <w:bCs/>
          <w:lang w:eastAsia="en-AU"/>
        </w:rPr>
      </w:pPr>
    </w:p>
    <w:p w14:paraId="4020ACD6" w14:textId="613DB3FC"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An Investor (when also the Life Insured) can nominate one or more persons (Nominated Beneficiaries) to whom proceeds from the Investment Options are to be paid in the event of the death of the Life Insured. This payment would not form part of the Investor’s estate and would be paid directly to the Nominated Beneficiaries, by-passing the often complicated and time-consuming probate process.</w:t>
      </w:r>
    </w:p>
    <w:p w14:paraId="6AFE088A" w14:textId="77777777" w:rsidR="00973BEF" w:rsidRDefault="00973BEF" w:rsidP="00973BEF">
      <w:pPr>
        <w:rPr>
          <w:rFonts w:ascii="Arial" w:eastAsia="Times New Roman" w:hAnsi="Arial" w:cs="Arial"/>
          <w:b/>
          <w:lang w:eastAsia="en-AU"/>
        </w:rPr>
      </w:pPr>
    </w:p>
    <w:p w14:paraId="0FAF274F" w14:textId="77777777" w:rsidR="00282F90" w:rsidRDefault="00282F90" w:rsidP="00973BEF">
      <w:pPr>
        <w:rPr>
          <w:rFonts w:ascii="Arial" w:eastAsia="Times New Roman" w:hAnsi="Arial" w:cs="Arial"/>
          <w:b/>
          <w:lang w:eastAsia="en-AU"/>
        </w:rPr>
      </w:pPr>
    </w:p>
    <w:p w14:paraId="548D45B2" w14:textId="77777777" w:rsidR="00282F90" w:rsidRDefault="00282F90" w:rsidP="00973BEF">
      <w:pPr>
        <w:rPr>
          <w:rFonts w:ascii="Arial" w:eastAsia="Times New Roman" w:hAnsi="Arial" w:cs="Arial"/>
          <w:b/>
          <w:lang w:eastAsia="en-AU"/>
        </w:rPr>
      </w:pPr>
    </w:p>
    <w:p w14:paraId="2D42E40D" w14:textId="4D83CE47"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lastRenderedPageBreak/>
        <w:t>Additional Contributions</w:t>
      </w:r>
    </w:p>
    <w:p w14:paraId="417CAE5F" w14:textId="77777777" w:rsidR="00AF1DD7" w:rsidRPr="00973BEF" w:rsidRDefault="00AF1DD7" w:rsidP="00973BEF">
      <w:pPr>
        <w:rPr>
          <w:rFonts w:ascii="Arial" w:eastAsia="Times New Roman" w:hAnsi="Arial" w:cs="Arial"/>
          <w:bCs/>
          <w:lang w:eastAsia="en-AU"/>
        </w:rPr>
      </w:pPr>
    </w:p>
    <w:p w14:paraId="02044645" w14:textId="7C4036D4"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There are no limits on contributions in the first year. You can make additional contributions of any amount </w:t>
      </w:r>
      <w:r w:rsidR="00910998" w:rsidRPr="00973BEF">
        <w:rPr>
          <w:rFonts w:ascii="Arial" w:eastAsia="Times New Roman" w:hAnsi="Arial" w:cs="Arial"/>
          <w:bCs/>
          <w:sz w:val="22"/>
          <w:szCs w:val="22"/>
          <w:lang w:eastAsia="en-AU"/>
        </w:rPr>
        <w:t xml:space="preserve">following your initial investment </w:t>
      </w:r>
      <w:r w:rsidRPr="00973BEF">
        <w:rPr>
          <w:rFonts w:ascii="Arial" w:eastAsia="Times New Roman" w:hAnsi="Arial" w:cs="Arial"/>
          <w:bCs/>
          <w:sz w:val="22"/>
          <w:szCs w:val="22"/>
          <w:lang w:eastAsia="en-AU"/>
        </w:rPr>
        <w:t xml:space="preserve">during the first 12 months. After </w:t>
      </w:r>
      <w:r w:rsidR="00910998" w:rsidRPr="00973BEF">
        <w:rPr>
          <w:rFonts w:ascii="Arial" w:eastAsia="Times New Roman" w:hAnsi="Arial" w:cs="Arial"/>
          <w:bCs/>
          <w:sz w:val="22"/>
          <w:szCs w:val="22"/>
          <w:lang w:eastAsia="en-AU"/>
        </w:rPr>
        <w:t>year 1</w:t>
      </w:r>
      <w:r w:rsidRPr="00973BEF">
        <w:rPr>
          <w:rFonts w:ascii="Arial" w:eastAsia="Times New Roman" w:hAnsi="Arial" w:cs="Arial"/>
          <w:bCs/>
          <w:sz w:val="22"/>
          <w:szCs w:val="22"/>
          <w:lang w:eastAsia="en-AU"/>
        </w:rPr>
        <w:t xml:space="preserve">, you may invest up to 125% of the total amount invested in the previous </w:t>
      </w:r>
      <w:r w:rsidR="00910998" w:rsidRPr="00973BEF">
        <w:rPr>
          <w:rFonts w:ascii="Arial" w:eastAsia="Times New Roman" w:hAnsi="Arial" w:cs="Arial"/>
          <w:bCs/>
          <w:sz w:val="22"/>
          <w:szCs w:val="22"/>
          <w:lang w:eastAsia="en-AU"/>
        </w:rPr>
        <w:t>year</w:t>
      </w:r>
      <w:r w:rsidRPr="00973BEF">
        <w:rPr>
          <w:rFonts w:ascii="Arial" w:eastAsia="Times New Roman" w:hAnsi="Arial" w:cs="Arial"/>
          <w:bCs/>
          <w:sz w:val="22"/>
          <w:szCs w:val="22"/>
          <w:lang w:eastAsia="en-AU"/>
        </w:rPr>
        <w:t xml:space="preserve"> and still retain the original start date of the Bond. This means all additional investments have the same start date for tax purposes and growth or earnings will still be tax-free when your investment is held for 10 years or more.</w:t>
      </w:r>
    </w:p>
    <w:p w14:paraId="79086EB9" w14:textId="77777777" w:rsidR="00AF1DD7" w:rsidRPr="00973BEF" w:rsidRDefault="00AF1DD7" w:rsidP="00973BEF">
      <w:pPr>
        <w:rPr>
          <w:rFonts w:ascii="Arial" w:eastAsia="Times New Roman" w:hAnsi="Arial" w:cs="Arial"/>
          <w:bCs/>
          <w:sz w:val="22"/>
          <w:szCs w:val="22"/>
          <w:lang w:eastAsia="en-AU"/>
        </w:rPr>
      </w:pPr>
    </w:p>
    <w:p w14:paraId="538CAF1C" w14:textId="53833ED5"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If you do not make an additional investment in subsequent years, then any additional investment will restart your 10-year tax period.</w:t>
      </w:r>
    </w:p>
    <w:p w14:paraId="6D0E466C" w14:textId="57B07D4B" w:rsidR="001921DD" w:rsidRPr="00973BEF" w:rsidRDefault="001921DD" w:rsidP="00973BEF">
      <w:pPr>
        <w:rPr>
          <w:rFonts w:ascii="Arial" w:eastAsia="Times New Roman" w:hAnsi="Arial" w:cs="Arial"/>
          <w:bCs/>
          <w:lang w:eastAsia="en-AU"/>
        </w:rPr>
      </w:pPr>
    </w:p>
    <w:p w14:paraId="4D9B0397" w14:textId="77777777"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The Participants</w:t>
      </w:r>
    </w:p>
    <w:p w14:paraId="4EE588B4" w14:textId="77777777" w:rsidR="001921DD" w:rsidRPr="00486736" w:rsidRDefault="001921DD" w:rsidP="00973BEF">
      <w:pPr>
        <w:pStyle w:val="SubHeader-RED"/>
        <w:rPr>
          <w:rFonts w:ascii="Arial" w:eastAsia="Times New Roman" w:hAnsi="Arial" w:cs="Arial"/>
          <w:color w:val="auto"/>
          <w:sz w:val="22"/>
          <w:szCs w:val="22"/>
          <w:lang w:val="en-AU" w:eastAsia="en-AU"/>
        </w:rPr>
      </w:pPr>
      <w:r w:rsidRPr="00973BEF">
        <w:rPr>
          <w:rFonts w:ascii="Arial" w:eastAsia="Times New Roman" w:hAnsi="Arial" w:cs="Arial"/>
          <w:color w:val="auto"/>
          <w:sz w:val="22"/>
          <w:szCs w:val="22"/>
          <w:lang w:eastAsia="en-AU"/>
        </w:rPr>
        <w:t>Bond Owner</w:t>
      </w:r>
    </w:p>
    <w:p w14:paraId="56BA3ADB"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Bond Owner is the investor who makes the investment. Should you wish, you can transfer ownership to another party as part of a registered transfer/assignment. The Bond Owner can be an individual, a company, a </w:t>
      </w:r>
      <w:proofErr w:type="gramStart"/>
      <w:r w:rsidRPr="00973BEF">
        <w:rPr>
          <w:rFonts w:ascii="Arial" w:eastAsia="Times New Roman" w:hAnsi="Arial" w:cs="Arial"/>
          <w:color w:val="auto"/>
          <w:sz w:val="22"/>
          <w:szCs w:val="22"/>
          <w:lang w:eastAsia="en-AU"/>
        </w:rPr>
        <w:t>trust</w:t>
      </w:r>
      <w:proofErr w:type="gramEnd"/>
      <w:r w:rsidRPr="00973BEF">
        <w:rPr>
          <w:rFonts w:ascii="Arial" w:eastAsia="Times New Roman" w:hAnsi="Arial" w:cs="Arial"/>
          <w:color w:val="auto"/>
          <w:sz w:val="22"/>
          <w:szCs w:val="22"/>
          <w:lang w:eastAsia="en-AU"/>
        </w:rPr>
        <w:t xml:space="preserve"> or any other legal entity. </w:t>
      </w:r>
    </w:p>
    <w:p w14:paraId="4170B8C1"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Bonds can also be jointly owned by more than one individual or entity. If one of the joint Bond Owners (not being the sole Life Insured) dies, the survivor(s) automatically becomes the Bond Owner(s). The Bond may then be continued without interruption for as long as the survivor(s) wish(es) and provided the selected ‘Life Insured’ is still alive.</w:t>
      </w:r>
    </w:p>
    <w:p w14:paraId="1C6C8BBF" w14:textId="77777777"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Life Insured</w:t>
      </w:r>
    </w:p>
    <w:p w14:paraId="0B39EABE"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The Bond Owner must name a life insured. The Bond will mature on the passing of the Life Insured. The Bond Owner can be the Life Insured but does not have to be. The Bond Owner may select another person to be a Life Insured. A Bond Owner can name their child or any other natural person as the Life Insured.</w:t>
      </w:r>
    </w:p>
    <w:p w14:paraId="47EF3205"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more than one Life Insured is named, the Bond will mature on the passing of the last surviving Life Insured. The Life Insured does not have to be related to or be a dependent of the Bond Owner. </w:t>
      </w:r>
    </w:p>
    <w:p w14:paraId="3E5ED018"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If the Bond Owner is a company or another legal entity, a living natural person(s) must be named as the Life Insured.</w:t>
      </w:r>
    </w:p>
    <w:p w14:paraId="5662003C" w14:textId="468470A2"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You cannot remove or change the Life Insured during the </w:t>
      </w:r>
      <w:r w:rsidR="00601E19" w:rsidRPr="00973BEF">
        <w:rPr>
          <w:rFonts w:ascii="Arial" w:eastAsia="Times New Roman" w:hAnsi="Arial" w:cs="Arial"/>
          <w:color w:val="auto"/>
          <w:sz w:val="22"/>
          <w:szCs w:val="22"/>
          <w:lang w:eastAsia="en-AU"/>
        </w:rPr>
        <w:t>t</w:t>
      </w:r>
      <w:r w:rsidRPr="00973BEF">
        <w:rPr>
          <w:rFonts w:ascii="Arial" w:eastAsia="Times New Roman" w:hAnsi="Arial" w:cs="Arial"/>
          <w:color w:val="auto"/>
          <w:sz w:val="22"/>
          <w:szCs w:val="22"/>
          <w:lang w:eastAsia="en-AU"/>
        </w:rPr>
        <w:t>erm of your Bond. You can however add a Life Insured.</w:t>
      </w:r>
    </w:p>
    <w:p w14:paraId="08AFDDA2" w14:textId="3D08D8BB"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Nominated Beneficiary (where the Bond Owner is also the Life Insured)</w:t>
      </w:r>
    </w:p>
    <w:p w14:paraId="5DD64F8A"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nominated beneficiary is the person(s) who will be entitled to the proceeds or transfer of the accumulated value of the Bond upon the passing of the Life Insured. The Bond Owner (aged over 16 years) may nominate any number of beneficiaries and can indicate a proportion of the accumulated value of the Bond to be paid to each, e.g. 25% to each of four nominees. </w:t>
      </w:r>
    </w:p>
    <w:p w14:paraId="01B64A1D" w14:textId="271E49D8"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Beneficiaries may be individuals or a legal entity, such as a company or trust</w:t>
      </w:r>
      <w:r w:rsidR="00624AE9" w:rsidRPr="00973BEF">
        <w:rPr>
          <w:rFonts w:ascii="Arial" w:eastAsia="Times New Roman" w:hAnsi="Arial" w:cs="Arial"/>
          <w:color w:val="auto"/>
          <w:sz w:val="22"/>
          <w:szCs w:val="22"/>
          <w:lang w:eastAsia="en-AU"/>
        </w:rPr>
        <w:t>ee</w:t>
      </w:r>
      <w:r w:rsidRPr="00973BEF">
        <w:rPr>
          <w:rFonts w:ascii="Arial" w:eastAsia="Times New Roman" w:hAnsi="Arial" w:cs="Arial"/>
          <w:color w:val="auto"/>
          <w:sz w:val="22"/>
          <w:szCs w:val="22"/>
          <w:lang w:eastAsia="en-AU"/>
        </w:rPr>
        <w:t xml:space="preserve">. </w:t>
      </w:r>
    </w:p>
    <w:p w14:paraId="4945DA01" w14:textId="2E802E71"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Bond Owner can revoke or change the nominated beneficiaries at any time until the passing of the Life Insured. Single nominations are automatically revoked if the nominated beneficiary passes away prior to the Bond maturing. The death of one of </w:t>
      </w:r>
      <w:r w:rsidRPr="00973BEF">
        <w:rPr>
          <w:rFonts w:ascii="Arial" w:eastAsia="Times New Roman" w:hAnsi="Arial" w:cs="Arial"/>
          <w:color w:val="auto"/>
          <w:sz w:val="22"/>
          <w:szCs w:val="22"/>
          <w:lang w:eastAsia="en-AU"/>
        </w:rPr>
        <w:lastRenderedPageBreak/>
        <w:t xml:space="preserve">multiple nominees </w:t>
      </w:r>
      <w:r w:rsidR="00DE0B44" w:rsidRPr="00973BEF">
        <w:rPr>
          <w:rFonts w:ascii="Arial" w:eastAsia="Times New Roman" w:hAnsi="Arial" w:cs="Arial"/>
          <w:color w:val="auto"/>
          <w:sz w:val="22"/>
          <w:szCs w:val="22"/>
          <w:lang w:eastAsia="en-AU"/>
        </w:rPr>
        <w:t xml:space="preserve">will result in the deceased Nominated Beneficiary’s entitlement being allocated to the surviving Nominated Beneficiaries on a pro-rata basis, </w:t>
      </w:r>
      <w:proofErr w:type="gramStart"/>
      <w:r w:rsidR="00DE0B44" w:rsidRPr="00973BEF">
        <w:rPr>
          <w:rFonts w:ascii="Arial" w:eastAsia="Times New Roman" w:hAnsi="Arial" w:cs="Arial"/>
          <w:color w:val="auto"/>
          <w:sz w:val="22"/>
          <w:szCs w:val="22"/>
          <w:lang w:eastAsia="en-AU"/>
        </w:rPr>
        <w:t>taking into account</w:t>
      </w:r>
      <w:proofErr w:type="gramEnd"/>
      <w:r w:rsidR="00DE0B44" w:rsidRPr="00973BEF">
        <w:rPr>
          <w:rFonts w:ascii="Arial" w:eastAsia="Times New Roman" w:hAnsi="Arial" w:cs="Arial"/>
          <w:color w:val="auto"/>
          <w:sz w:val="22"/>
          <w:szCs w:val="22"/>
          <w:lang w:eastAsia="en-AU"/>
        </w:rPr>
        <w:t xml:space="preserve"> their original proportionate entitlements. </w:t>
      </w:r>
      <w:r w:rsidR="00D2305E" w:rsidRPr="00973BEF">
        <w:rPr>
          <w:rFonts w:ascii="Arial" w:eastAsia="Times New Roman" w:hAnsi="Arial" w:cs="Arial"/>
          <w:color w:val="auto"/>
          <w:sz w:val="22"/>
          <w:szCs w:val="22"/>
          <w:lang w:eastAsia="en-AU"/>
        </w:rPr>
        <w:t xml:space="preserve"> </w:t>
      </w:r>
    </w:p>
    <w:p w14:paraId="17C93D4C"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a beneficiary is not nominated, the Bond’s investment proceeds will be paid to the Bond Owner at maturity or if the Bond Owner dies, the proceeds will be paid to the Bond Owner’s estate. </w:t>
      </w:r>
    </w:p>
    <w:p w14:paraId="1E414A6D" w14:textId="77777777" w:rsidR="001921DD" w:rsidRPr="00973BEF" w:rsidRDefault="001921DD" w:rsidP="00973BEF">
      <w:pPr>
        <w:pStyle w:val="SubHeader-RED"/>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Assignees</w:t>
      </w:r>
    </w:p>
    <w:p w14:paraId="49D10BD1"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Ownership of the Bond can be assigned (known as a transfer) to any individual or entity – if the assigning Bond Owner is at least 16 years of age. An assignment confers all the ownership rights of the Bond to the assignee.</w:t>
      </w:r>
    </w:p>
    <w:p w14:paraId="795D480C" w14:textId="176F4139" w:rsidR="00AF1DD7"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you assign your Bond, the original start date of your Bond is retained for the new Bond Owner. </w:t>
      </w:r>
    </w:p>
    <w:p w14:paraId="03884591" w14:textId="1B348A1F"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t>Asset protection from creditors</w:t>
      </w:r>
    </w:p>
    <w:p w14:paraId="49A37AE3" w14:textId="77777777" w:rsidR="00AF1DD7" w:rsidRPr="00973BEF" w:rsidRDefault="00AF1DD7" w:rsidP="00973BEF">
      <w:pPr>
        <w:rPr>
          <w:rFonts w:ascii="Arial" w:eastAsia="Times New Roman" w:hAnsi="Arial" w:cs="Arial"/>
          <w:bCs/>
          <w:lang w:eastAsia="en-AU"/>
        </w:rPr>
      </w:pPr>
    </w:p>
    <w:p w14:paraId="34E703B7" w14:textId="3D84F810"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Money invested in Centuria LifeGoals is generally protected from creditors. Centuria LifeGoals are treated as a life insurance policy for regulatory purposes and enjoy special protection under Australia’s bankruptcy laws. If the Life Insured is the Investor or the Investor’s spouse, the investment and its proceeds are generally protected from creditors unless the intention of the Investor in making the investment was to defeat the claims of their creditors.</w:t>
      </w:r>
    </w:p>
    <w:p w14:paraId="323FA251" w14:textId="77777777" w:rsidR="001921DD" w:rsidRPr="00973BEF" w:rsidRDefault="001921DD" w:rsidP="00973BEF">
      <w:pPr>
        <w:rPr>
          <w:rFonts w:ascii="Arial" w:eastAsia="Times New Roman" w:hAnsi="Arial" w:cs="Arial"/>
          <w:bCs/>
          <w:lang w:eastAsia="en-AU"/>
        </w:rPr>
      </w:pPr>
    </w:p>
    <w:p w14:paraId="75B37896" w14:textId="6EEE42B2" w:rsidR="001921DD" w:rsidRPr="00973BEF" w:rsidRDefault="001921DD" w:rsidP="00973BEF">
      <w:pPr>
        <w:rPr>
          <w:rFonts w:ascii="Arial" w:eastAsia="Times New Roman" w:hAnsi="Arial" w:cs="Arial"/>
          <w:b/>
          <w:lang w:eastAsia="en-AU"/>
        </w:rPr>
      </w:pPr>
      <w:r w:rsidRPr="00973BEF">
        <w:rPr>
          <w:rFonts w:ascii="Arial" w:eastAsia="Times New Roman" w:hAnsi="Arial" w:cs="Arial"/>
          <w:b/>
          <w:lang w:eastAsia="en-AU"/>
        </w:rPr>
        <w:t>Investing for Children</w:t>
      </w:r>
    </w:p>
    <w:p w14:paraId="4581890B" w14:textId="77777777" w:rsidR="001921DD" w:rsidRPr="00973BEF" w:rsidRDefault="001921DD" w:rsidP="00973BEF">
      <w:pPr>
        <w:rPr>
          <w:rFonts w:ascii="Arial" w:eastAsia="Times New Roman" w:hAnsi="Arial" w:cs="Arial"/>
          <w:bCs/>
          <w:lang w:eastAsia="en-AU"/>
        </w:rPr>
      </w:pPr>
    </w:p>
    <w:p w14:paraId="59274F5B" w14:textId="4E42DA09" w:rsidR="001921DD"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Children aged between 10 and 16 years can invest in Centuria LifeGoals in their own name, with the signed consent of their parent or guardian (as required by the Life Insurance Act).</w:t>
      </w:r>
    </w:p>
    <w:p w14:paraId="60C8B7E6" w14:textId="77777777" w:rsidR="0079190A" w:rsidRPr="00973BEF" w:rsidRDefault="0079190A" w:rsidP="00973BEF">
      <w:pPr>
        <w:rPr>
          <w:rFonts w:ascii="Arial" w:eastAsia="Times New Roman" w:hAnsi="Arial" w:cs="Arial"/>
          <w:bCs/>
          <w:sz w:val="22"/>
          <w:szCs w:val="22"/>
          <w:lang w:eastAsia="en-AU"/>
        </w:rPr>
      </w:pPr>
    </w:p>
    <w:p w14:paraId="541C3944" w14:textId="085FDDB2" w:rsidR="001921DD"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A child under 16 years cannot make investment decisions, such as a transfer, nomination or switching.</w:t>
      </w:r>
    </w:p>
    <w:p w14:paraId="3A4C6A9A" w14:textId="77777777" w:rsidR="0079190A" w:rsidRPr="00973BEF" w:rsidRDefault="0079190A" w:rsidP="00973BEF">
      <w:pPr>
        <w:rPr>
          <w:rFonts w:ascii="Arial" w:eastAsia="Times New Roman" w:hAnsi="Arial" w:cs="Arial"/>
          <w:bCs/>
          <w:sz w:val="22"/>
          <w:szCs w:val="22"/>
          <w:lang w:eastAsia="en-AU"/>
        </w:rPr>
      </w:pPr>
    </w:p>
    <w:p w14:paraId="1AE57CE3" w14:textId="539BECEB" w:rsidR="00AF1DD7"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An Investor can also hold an investment on trust for a child of any age, and then later transfer the investment to that child (if the child is aged at least 10 years) with the signed consent of their parent or guardian. Alternately you may </w:t>
      </w:r>
      <w:r w:rsidR="0079190A" w:rsidRPr="00973BEF">
        <w:rPr>
          <w:rFonts w:ascii="Arial" w:eastAsia="Times New Roman" w:hAnsi="Arial" w:cs="Arial"/>
          <w:bCs/>
          <w:sz w:val="22"/>
          <w:szCs w:val="22"/>
          <w:lang w:eastAsia="en-AU"/>
        </w:rPr>
        <w:t xml:space="preserve">choose </w:t>
      </w:r>
      <w:r w:rsidRPr="00973BEF">
        <w:rPr>
          <w:rFonts w:ascii="Arial" w:eastAsia="Times New Roman" w:hAnsi="Arial" w:cs="Arial"/>
          <w:bCs/>
          <w:sz w:val="22"/>
          <w:szCs w:val="22"/>
          <w:lang w:eastAsia="en-AU"/>
        </w:rPr>
        <w:t xml:space="preserve">to invest via the </w:t>
      </w:r>
      <w:r w:rsidR="00DE0B44" w:rsidRPr="00973BEF">
        <w:rPr>
          <w:rFonts w:ascii="Arial" w:eastAsia="Times New Roman" w:hAnsi="Arial" w:cs="Arial"/>
          <w:bCs/>
          <w:sz w:val="22"/>
          <w:szCs w:val="22"/>
          <w:lang w:eastAsia="en-AU"/>
        </w:rPr>
        <w:t xml:space="preserve">Centuria LifeGoals </w:t>
      </w:r>
      <w:r w:rsidRPr="00973BEF">
        <w:rPr>
          <w:rFonts w:ascii="Arial" w:eastAsia="Times New Roman" w:hAnsi="Arial" w:cs="Arial"/>
          <w:bCs/>
          <w:sz w:val="22"/>
          <w:szCs w:val="22"/>
          <w:lang w:eastAsia="en-AU"/>
        </w:rPr>
        <w:t>Child Plan.</w:t>
      </w:r>
    </w:p>
    <w:p w14:paraId="5A4AAF77" w14:textId="7E3A5E8A" w:rsidR="00946C1D" w:rsidRPr="00973BEF" w:rsidRDefault="00946C1D" w:rsidP="00973BEF">
      <w:pPr>
        <w:rPr>
          <w:rFonts w:ascii="Arial" w:eastAsia="Times New Roman" w:hAnsi="Arial" w:cs="Arial"/>
          <w:bCs/>
          <w:lang w:eastAsia="en-AU"/>
        </w:rPr>
      </w:pPr>
    </w:p>
    <w:p w14:paraId="2049CD12" w14:textId="4A4CE59C" w:rsidR="00946C1D" w:rsidRPr="00973BEF" w:rsidRDefault="00946C1D" w:rsidP="00973BEF">
      <w:pPr>
        <w:rPr>
          <w:rFonts w:ascii="Arial" w:eastAsia="Times New Roman" w:hAnsi="Arial" w:cs="Arial"/>
          <w:bCs/>
          <w:lang w:eastAsia="en-AU"/>
        </w:rPr>
      </w:pPr>
    </w:p>
    <w:p w14:paraId="031162C0" w14:textId="4E9ECF9E" w:rsidR="00946C1D" w:rsidRDefault="00946C1D" w:rsidP="00973BEF">
      <w:pPr>
        <w:rPr>
          <w:rFonts w:ascii="Arial" w:eastAsia="Times New Roman" w:hAnsi="Arial" w:cs="Arial"/>
          <w:bCs/>
          <w:lang w:eastAsia="en-AU"/>
        </w:rPr>
      </w:pPr>
    </w:p>
    <w:p w14:paraId="3D8FBF8F" w14:textId="4EB49EA6" w:rsidR="00973BEF" w:rsidRDefault="00973BEF" w:rsidP="00973BEF">
      <w:pPr>
        <w:rPr>
          <w:rFonts w:ascii="Arial" w:eastAsia="Times New Roman" w:hAnsi="Arial" w:cs="Arial"/>
          <w:bCs/>
          <w:lang w:eastAsia="en-AU"/>
        </w:rPr>
      </w:pPr>
    </w:p>
    <w:p w14:paraId="02372E02" w14:textId="0F02D0D7" w:rsidR="00973BEF" w:rsidRDefault="00973BEF" w:rsidP="00973BEF">
      <w:pPr>
        <w:rPr>
          <w:rFonts w:ascii="Arial" w:eastAsia="Times New Roman" w:hAnsi="Arial" w:cs="Arial"/>
          <w:bCs/>
          <w:lang w:eastAsia="en-AU"/>
        </w:rPr>
      </w:pPr>
    </w:p>
    <w:p w14:paraId="7A128B76" w14:textId="3C1D383D" w:rsidR="00973BEF" w:rsidRDefault="00973BEF" w:rsidP="00973BEF">
      <w:pPr>
        <w:rPr>
          <w:rFonts w:ascii="Arial" w:eastAsia="Times New Roman" w:hAnsi="Arial" w:cs="Arial"/>
          <w:bCs/>
          <w:lang w:eastAsia="en-AU"/>
        </w:rPr>
      </w:pPr>
    </w:p>
    <w:p w14:paraId="4803545A" w14:textId="72DF0523" w:rsidR="00973BEF" w:rsidRDefault="00973BEF" w:rsidP="00973BEF">
      <w:pPr>
        <w:rPr>
          <w:rFonts w:ascii="Arial" w:eastAsia="Times New Roman" w:hAnsi="Arial" w:cs="Arial"/>
          <w:bCs/>
          <w:lang w:eastAsia="en-AU"/>
        </w:rPr>
      </w:pPr>
    </w:p>
    <w:p w14:paraId="70D50294" w14:textId="44B0A8DC" w:rsidR="00973BEF" w:rsidRDefault="00973BEF" w:rsidP="00973BEF">
      <w:pPr>
        <w:rPr>
          <w:rFonts w:ascii="Arial" w:eastAsia="Times New Roman" w:hAnsi="Arial" w:cs="Arial"/>
          <w:bCs/>
          <w:lang w:eastAsia="en-AU"/>
        </w:rPr>
      </w:pPr>
    </w:p>
    <w:p w14:paraId="484AD4F7" w14:textId="0668C783" w:rsidR="00973BEF" w:rsidRDefault="00973BEF" w:rsidP="00973BEF">
      <w:pPr>
        <w:rPr>
          <w:rFonts w:ascii="Arial" w:eastAsia="Times New Roman" w:hAnsi="Arial" w:cs="Arial"/>
          <w:bCs/>
          <w:lang w:eastAsia="en-AU"/>
        </w:rPr>
      </w:pPr>
    </w:p>
    <w:p w14:paraId="7CBA9426" w14:textId="407FB390" w:rsidR="00973BEF" w:rsidRDefault="00973BEF" w:rsidP="00973BEF">
      <w:pPr>
        <w:rPr>
          <w:rFonts w:ascii="Arial" w:eastAsia="Times New Roman" w:hAnsi="Arial" w:cs="Arial"/>
          <w:bCs/>
          <w:lang w:eastAsia="en-AU"/>
        </w:rPr>
      </w:pPr>
    </w:p>
    <w:p w14:paraId="7E1879CB" w14:textId="17CE69F0" w:rsidR="00973BEF" w:rsidRDefault="00973BEF" w:rsidP="00973BEF">
      <w:pPr>
        <w:rPr>
          <w:rFonts w:ascii="Arial" w:eastAsia="Times New Roman" w:hAnsi="Arial" w:cs="Arial"/>
          <w:bCs/>
          <w:lang w:eastAsia="en-AU"/>
        </w:rPr>
      </w:pPr>
    </w:p>
    <w:p w14:paraId="64C2CD6A" w14:textId="4AB79794" w:rsidR="00282F90" w:rsidRDefault="00282F90">
      <w:pPr>
        <w:rPr>
          <w:rFonts w:ascii="Arial" w:eastAsia="Times New Roman" w:hAnsi="Arial" w:cs="Arial"/>
          <w:bCs/>
          <w:lang w:eastAsia="en-AU"/>
        </w:rPr>
      </w:pPr>
      <w:r>
        <w:rPr>
          <w:rFonts w:ascii="Arial" w:eastAsia="Times New Roman" w:hAnsi="Arial" w:cs="Arial"/>
          <w:bCs/>
          <w:lang w:eastAsia="en-AU"/>
        </w:rPr>
        <w:br w:type="page"/>
      </w:r>
    </w:p>
    <w:p w14:paraId="0791CCD5" w14:textId="77777777" w:rsidR="00946C1D" w:rsidRPr="00973BEF" w:rsidRDefault="00946C1D" w:rsidP="00973BEF">
      <w:pPr>
        <w:pStyle w:val="Heading2"/>
        <w:numPr>
          <w:ilvl w:val="0"/>
          <w:numId w:val="5"/>
        </w:numPr>
        <w:ind w:left="0" w:firstLine="0"/>
        <w:rPr>
          <w:rFonts w:ascii="Arial" w:hAnsi="Arial" w:cs="Arial"/>
          <w:b/>
        </w:rPr>
      </w:pPr>
      <w:bookmarkStart w:id="7" w:name="_Toc52180447"/>
      <w:r w:rsidRPr="00973BEF">
        <w:rPr>
          <w:rFonts w:ascii="Arial" w:hAnsi="Arial" w:cs="Arial"/>
          <w:b/>
        </w:rPr>
        <w:lastRenderedPageBreak/>
        <w:t>Centuria LifeGoals Child Plan</w:t>
      </w:r>
      <w:bookmarkEnd w:id="7"/>
    </w:p>
    <w:p w14:paraId="7F6BC0EC" w14:textId="77777777" w:rsidR="00946C1D" w:rsidRPr="00973BEF" w:rsidRDefault="00946C1D" w:rsidP="00973BEF">
      <w:pPr>
        <w:autoSpaceDE w:val="0"/>
        <w:autoSpaceDN w:val="0"/>
        <w:rPr>
          <w:rFonts w:ascii="Arial" w:eastAsia="Calibri" w:hAnsi="Arial" w:cs="Arial"/>
          <w:bCs/>
          <w:color w:val="000000"/>
          <w:lang w:eastAsia="en-AU"/>
        </w:rPr>
      </w:pPr>
    </w:p>
    <w:p w14:paraId="63D50AC1"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The Centuria Lifegoals Child Plan is a special feature of Centuria LifeGoals that provides any person, including parents and grandparents, a long-term growth investment designed to build an endowment for the future financial needs of selected children or grandchildren. A separate investment application will need to be completed for each Centuria LifeGoals Child Plan. The application can be made by single or joint owners.</w:t>
      </w:r>
    </w:p>
    <w:p w14:paraId="7F0A730A"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selected child must be under the age of 16 at the time of application and will become the owner of the investment upon reaching an age of between 10 and 25 years, as selected by you (Vesting Age). If the Plan ownership is transferred to a child between the age of 10 and under 16 years, a parent’s or guardian’s consent is required </w:t>
      </w:r>
      <w:proofErr w:type="gramStart"/>
      <w:r w:rsidRPr="00973BEF">
        <w:rPr>
          <w:rFonts w:ascii="Arial" w:eastAsia="Times New Roman" w:hAnsi="Arial" w:cs="Arial"/>
          <w:color w:val="auto"/>
          <w:sz w:val="22"/>
          <w:szCs w:val="22"/>
          <w:lang w:eastAsia="en-AU"/>
        </w:rPr>
        <w:t>in order to</w:t>
      </w:r>
      <w:proofErr w:type="gramEnd"/>
      <w:r w:rsidRPr="00973BEF">
        <w:rPr>
          <w:rFonts w:ascii="Arial" w:eastAsia="Times New Roman" w:hAnsi="Arial" w:cs="Arial"/>
          <w:color w:val="auto"/>
          <w:sz w:val="22"/>
          <w:szCs w:val="22"/>
          <w:lang w:eastAsia="en-AU"/>
        </w:rPr>
        <w:t xml:space="preserve"> transact on the investment. You can change the Vesting Age at any time if you desire.</w:t>
      </w:r>
    </w:p>
    <w:p w14:paraId="4EEC3A2C"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Once the Vesting Age is reached, the Child Plan is automatically transferred to the selected child without any personal tax or CGT obligations for you or the child. Thereafter, the selected child will have full ownership, </w:t>
      </w:r>
      <w:proofErr w:type="gramStart"/>
      <w:r w:rsidRPr="00973BEF">
        <w:rPr>
          <w:rFonts w:ascii="Arial" w:eastAsia="Times New Roman" w:hAnsi="Arial" w:cs="Arial"/>
          <w:color w:val="auto"/>
          <w:sz w:val="22"/>
          <w:szCs w:val="22"/>
          <w:lang w:eastAsia="en-AU"/>
        </w:rPr>
        <w:t>control</w:t>
      </w:r>
      <w:proofErr w:type="gramEnd"/>
      <w:r w:rsidRPr="00973BEF">
        <w:rPr>
          <w:rFonts w:ascii="Arial" w:eastAsia="Times New Roman" w:hAnsi="Arial" w:cs="Arial"/>
          <w:color w:val="auto"/>
          <w:sz w:val="22"/>
          <w:szCs w:val="22"/>
          <w:lang w:eastAsia="en-AU"/>
        </w:rPr>
        <w:t xml:space="preserve"> and access rights, including accessing investment proceeds, switching Investment Options and extending the term. Notwithstanding the vesting, the Centuria LifeGoals Child Plan retains its original commencement date.</w:t>
      </w:r>
    </w:p>
    <w:p w14:paraId="5780876B" w14:textId="344A0881"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Should you, as the investment owner, die before the Vesting Age, your estate representative will become the investment owner and hold the Centuria LifeGoals investment in trust for the selected child until the nominated Vesting Age is reached. If the selected child were to die before reaching the Vesting Age, the Centuria LifeGoals Child Plan will </w:t>
      </w:r>
      <w:r w:rsidR="000D0928" w:rsidRPr="00973BEF">
        <w:rPr>
          <w:rFonts w:ascii="Arial" w:eastAsia="Times New Roman" w:hAnsi="Arial" w:cs="Arial"/>
          <w:color w:val="auto"/>
          <w:sz w:val="22"/>
          <w:szCs w:val="22"/>
          <w:lang w:eastAsia="en-AU"/>
        </w:rPr>
        <w:t>mature,</w:t>
      </w:r>
      <w:r w:rsidRPr="00973BEF">
        <w:rPr>
          <w:rFonts w:ascii="Arial" w:eastAsia="Times New Roman" w:hAnsi="Arial" w:cs="Arial"/>
          <w:color w:val="auto"/>
          <w:sz w:val="22"/>
          <w:szCs w:val="22"/>
          <w:lang w:eastAsia="en-AU"/>
        </w:rPr>
        <w:t xml:space="preserve"> and the proceeds will be paid to you on a tax-free basis unless a beneficiary or beneficiaries have been nominated.</w:t>
      </w:r>
    </w:p>
    <w:p w14:paraId="21FD243F" w14:textId="07645570" w:rsidR="001921DD" w:rsidRPr="00973BEF" w:rsidRDefault="001921DD" w:rsidP="00973BEF">
      <w:pPr>
        <w:pStyle w:val="BODYSTANDARDBLACK9pt11"/>
        <w:rPr>
          <w:rFonts w:ascii="Arial" w:eastAsia="Times New Roman" w:hAnsi="Arial" w:cs="Arial"/>
          <w:lang w:eastAsia="en-AU"/>
        </w:rPr>
      </w:pPr>
      <w:r w:rsidRPr="00973BEF">
        <w:rPr>
          <w:rFonts w:ascii="Arial" w:eastAsia="Times New Roman" w:hAnsi="Arial" w:cs="Arial"/>
          <w:color w:val="auto"/>
          <w:sz w:val="24"/>
          <w:szCs w:val="24"/>
          <w:lang w:eastAsia="en-AU"/>
        </w:rPr>
        <w:br w:type="page"/>
      </w:r>
    </w:p>
    <w:p w14:paraId="4C6BCCB9" w14:textId="1973DE79" w:rsidR="00946C1D" w:rsidRPr="00973BEF" w:rsidRDefault="00946C1D" w:rsidP="00973BEF">
      <w:pPr>
        <w:pStyle w:val="Heading2"/>
        <w:numPr>
          <w:ilvl w:val="0"/>
          <w:numId w:val="5"/>
        </w:numPr>
        <w:ind w:left="0" w:firstLine="0"/>
        <w:rPr>
          <w:rFonts w:ascii="Arial" w:hAnsi="Arial" w:cs="Arial"/>
          <w:b/>
        </w:rPr>
      </w:pPr>
      <w:bookmarkStart w:id="8" w:name="_Toc52180448"/>
      <w:r w:rsidRPr="00973BEF">
        <w:rPr>
          <w:rFonts w:ascii="Arial" w:hAnsi="Arial" w:cs="Arial"/>
          <w:b/>
        </w:rPr>
        <w:lastRenderedPageBreak/>
        <w:t>Tax Effective Wealth Building</w:t>
      </w:r>
      <w:bookmarkEnd w:id="8"/>
    </w:p>
    <w:p w14:paraId="0D2A8C5F" w14:textId="77777777" w:rsidR="00383CA0" w:rsidRPr="00973BEF" w:rsidRDefault="00383CA0" w:rsidP="00973BEF">
      <w:pPr>
        <w:rPr>
          <w:rFonts w:ascii="Arial" w:hAnsi="Arial" w:cs="Arial"/>
          <w:lang w:val="en-AU"/>
        </w:rPr>
      </w:pPr>
    </w:p>
    <w:p w14:paraId="5E99AB5F" w14:textId="5FFDCD38" w:rsidR="00946C1D" w:rsidRPr="008230C6"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Your investment is ‘tax-paid’ which means that tax is paid by Centuria Life on earnings made by Centuria LifeGoals during the investment period. Further, the performance returns for Centuria LifeGoals are quoted after </w:t>
      </w:r>
      <w:r w:rsidR="00DE0B44" w:rsidRPr="00973BEF">
        <w:rPr>
          <w:rFonts w:ascii="Arial" w:eastAsia="Times New Roman" w:hAnsi="Arial" w:cs="Arial"/>
          <w:color w:val="auto"/>
          <w:sz w:val="22"/>
          <w:szCs w:val="22"/>
          <w:lang w:eastAsia="en-AU"/>
        </w:rPr>
        <w:t>the payment of taxes by Centuria Life and fees</w:t>
      </w:r>
      <w:r w:rsidRPr="00973BEF">
        <w:rPr>
          <w:rFonts w:ascii="Arial" w:eastAsia="Times New Roman" w:hAnsi="Arial" w:cs="Arial"/>
          <w:color w:val="auto"/>
          <w:sz w:val="22"/>
          <w:szCs w:val="22"/>
          <w:lang w:eastAsia="en-AU"/>
        </w:rPr>
        <w:t xml:space="preserve">. In contrast, returns on most other investments (such as managed funds, term deposits and shares) are quoted on a before tax or ‘gross’ </w:t>
      </w:r>
      <w:r w:rsidRPr="008230C6">
        <w:rPr>
          <w:rFonts w:ascii="Arial" w:eastAsia="Times New Roman" w:hAnsi="Arial" w:cs="Arial"/>
          <w:color w:val="auto"/>
          <w:sz w:val="22"/>
          <w:szCs w:val="22"/>
          <w:lang w:eastAsia="en-AU"/>
        </w:rPr>
        <w:t xml:space="preserve">basis. </w:t>
      </w:r>
    </w:p>
    <w:p w14:paraId="4850575E" w14:textId="77777777" w:rsidR="00946C1D" w:rsidRPr="008230C6" w:rsidRDefault="00946C1D" w:rsidP="00973BEF">
      <w:pPr>
        <w:pStyle w:val="BODYSTANDARDBLACK9pt11"/>
        <w:rPr>
          <w:rFonts w:ascii="Arial" w:eastAsia="Times New Roman" w:hAnsi="Arial" w:cs="Arial"/>
          <w:color w:val="auto"/>
          <w:sz w:val="22"/>
          <w:szCs w:val="22"/>
          <w:lang w:eastAsia="en-AU"/>
        </w:rPr>
      </w:pPr>
      <w:r w:rsidRPr="008230C6">
        <w:rPr>
          <w:rFonts w:ascii="Arial" w:eastAsia="Times New Roman" w:hAnsi="Arial" w:cs="Arial"/>
          <w:color w:val="auto"/>
          <w:sz w:val="22"/>
          <w:szCs w:val="22"/>
          <w:lang w:eastAsia="en-AU"/>
        </w:rPr>
        <w:t xml:space="preserve">For example, as shown in the table below for illustrative purposes, for an Investor in the highest marginal tax bracket, assuming a 5% per annum after-tax investment return for a tax-paid investment product is equivalent to a 9.4% per annum before-tax investment return. This is because the before-tax investment will be reduced by the tax payable on it at the highest marginal tax rate of 45% (plus 2% Medicare levy plus any Medicare levy surcharge). </w:t>
      </w:r>
    </w:p>
    <w:p w14:paraId="4D3494A7" w14:textId="173510B6" w:rsidR="00946C1D" w:rsidRPr="008230C6" w:rsidRDefault="00946C1D" w:rsidP="00973BEF">
      <w:pPr>
        <w:pStyle w:val="BODYSTANDARDBLACK9pt11"/>
        <w:rPr>
          <w:rFonts w:ascii="Arial" w:eastAsia="Times New Roman" w:hAnsi="Arial" w:cs="Arial"/>
          <w:color w:val="auto"/>
          <w:sz w:val="22"/>
          <w:szCs w:val="22"/>
          <w:lang w:eastAsia="en-AU"/>
        </w:rPr>
      </w:pPr>
      <w:r w:rsidRPr="008230C6">
        <w:rPr>
          <w:rFonts w:ascii="Arial" w:eastAsia="Times New Roman" w:hAnsi="Arial" w:cs="Arial"/>
          <w:color w:val="auto"/>
          <w:sz w:val="22"/>
          <w:szCs w:val="22"/>
          <w:lang w:eastAsia="en-AU"/>
        </w:rPr>
        <w:t>The table below demonstrates the difference between investment returns on investment products that are tax-paid (such as Centuria LifeGoals) and other investment products which are not tax-paid in various scenarios:</w:t>
      </w:r>
    </w:p>
    <w:tbl>
      <w:tblPr>
        <w:tblpPr w:leftFromText="180" w:rightFromText="180" w:vertAnchor="text" w:horzAnchor="margin" w:tblpY="-57"/>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1650"/>
        <w:gridCol w:w="1650"/>
        <w:gridCol w:w="1664"/>
      </w:tblGrid>
      <w:tr w:rsidR="009B4310" w:rsidRPr="008230C6" w14:paraId="3BB62346" w14:textId="77777777" w:rsidTr="009B4310">
        <w:trPr>
          <w:trHeight w:val="101"/>
        </w:trPr>
        <w:tc>
          <w:tcPr>
            <w:tcW w:w="8264" w:type="dxa"/>
            <w:gridSpan w:val="5"/>
          </w:tcPr>
          <w:p w14:paraId="2C11A365"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b/>
                <w:bCs/>
                <w:color w:val="000000"/>
                <w:sz w:val="22"/>
                <w:szCs w:val="22"/>
              </w:rPr>
              <w:t>Marginal tax rate</w:t>
            </w:r>
            <w:r w:rsidRPr="008230C6">
              <w:rPr>
                <w:rStyle w:val="FootnoteReference"/>
                <w:rFonts w:ascii="Arial" w:hAnsi="Arial" w:cs="Arial"/>
                <w:b/>
                <w:bCs/>
                <w:color w:val="000000"/>
                <w:sz w:val="22"/>
                <w:szCs w:val="22"/>
              </w:rPr>
              <w:footnoteReference w:id="4"/>
            </w:r>
            <w:r w:rsidRPr="008230C6">
              <w:rPr>
                <w:rFonts w:ascii="Arial" w:hAnsi="Arial" w:cs="Arial"/>
                <w:b/>
                <w:bCs/>
                <w:color w:val="000000"/>
                <w:sz w:val="22"/>
                <w:szCs w:val="22"/>
              </w:rPr>
              <w:t xml:space="preserve"> (including the 2% Medicare levy) of Investor</w:t>
            </w:r>
          </w:p>
        </w:tc>
      </w:tr>
      <w:tr w:rsidR="009B4310" w:rsidRPr="008230C6" w14:paraId="5B8DAF02" w14:textId="77777777" w:rsidTr="009B4310">
        <w:trPr>
          <w:trHeight w:val="419"/>
        </w:trPr>
        <w:tc>
          <w:tcPr>
            <w:tcW w:w="1650" w:type="dxa"/>
            <w:vMerge w:val="restart"/>
          </w:tcPr>
          <w:p w14:paraId="5573F624" w14:textId="77777777" w:rsidR="009B4310" w:rsidRPr="008230C6" w:rsidRDefault="009B4310" w:rsidP="009B4310">
            <w:pPr>
              <w:pStyle w:val="Pa0"/>
              <w:spacing w:after="100"/>
              <w:rPr>
                <w:rFonts w:ascii="Arial" w:hAnsi="Arial" w:cs="Arial"/>
                <w:b/>
                <w:bCs/>
                <w:color w:val="000000"/>
                <w:sz w:val="22"/>
                <w:szCs w:val="22"/>
              </w:rPr>
            </w:pPr>
            <w:r w:rsidRPr="008230C6">
              <w:rPr>
                <w:rFonts w:ascii="Arial" w:hAnsi="Arial" w:cs="Arial"/>
                <w:b/>
                <w:bCs/>
                <w:color w:val="000000"/>
                <w:sz w:val="22"/>
                <w:szCs w:val="22"/>
              </w:rPr>
              <w:t>Assumed illustrative investment return on tax-paid investment (per annum)</w:t>
            </w:r>
          </w:p>
        </w:tc>
        <w:tc>
          <w:tcPr>
            <w:tcW w:w="1650" w:type="dxa"/>
          </w:tcPr>
          <w:p w14:paraId="5CB6A861"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21% tax rate</w:t>
            </w:r>
          </w:p>
        </w:tc>
        <w:tc>
          <w:tcPr>
            <w:tcW w:w="1650" w:type="dxa"/>
          </w:tcPr>
          <w:p w14:paraId="66668141"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34.5% tax rate</w:t>
            </w:r>
          </w:p>
        </w:tc>
        <w:tc>
          <w:tcPr>
            <w:tcW w:w="1650" w:type="dxa"/>
          </w:tcPr>
          <w:p w14:paraId="057989A9"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39% tax rate</w:t>
            </w:r>
          </w:p>
        </w:tc>
        <w:tc>
          <w:tcPr>
            <w:tcW w:w="1664" w:type="dxa"/>
          </w:tcPr>
          <w:p w14:paraId="22A2D337"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47% tax rate</w:t>
            </w:r>
          </w:p>
        </w:tc>
      </w:tr>
      <w:tr w:rsidR="009B4310" w:rsidRPr="008230C6" w14:paraId="4435EAEB" w14:textId="77777777" w:rsidTr="009B4310">
        <w:trPr>
          <w:trHeight w:val="207"/>
        </w:trPr>
        <w:tc>
          <w:tcPr>
            <w:tcW w:w="1650" w:type="dxa"/>
            <w:vMerge/>
          </w:tcPr>
          <w:p w14:paraId="657FCB3F" w14:textId="77777777" w:rsidR="009B4310" w:rsidRPr="008230C6" w:rsidRDefault="009B4310" w:rsidP="009B4310">
            <w:pPr>
              <w:pStyle w:val="Default"/>
              <w:rPr>
                <w:rFonts w:ascii="Arial" w:hAnsi="Arial" w:cs="Arial"/>
                <w:b/>
                <w:bCs/>
                <w:color w:val="auto"/>
                <w:sz w:val="22"/>
                <w:szCs w:val="22"/>
              </w:rPr>
            </w:pPr>
          </w:p>
        </w:tc>
        <w:tc>
          <w:tcPr>
            <w:tcW w:w="6614" w:type="dxa"/>
            <w:gridSpan w:val="4"/>
          </w:tcPr>
          <w:p w14:paraId="72A522D3"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The amount you would need to earn per annum if you paid the tax yourself at one of the marginal tax rates above (ie if the investment is not tax-paid)</w:t>
            </w:r>
          </w:p>
        </w:tc>
      </w:tr>
      <w:tr w:rsidR="009B4310" w:rsidRPr="008230C6" w14:paraId="5863EBCF" w14:textId="77777777" w:rsidTr="009B4310">
        <w:trPr>
          <w:trHeight w:val="141"/>
        </w:trPr>
        <w:tc>
          <w:tcPr>
            <w:tcW w:w="1650" w:type="dxa"/>
          </w:tcPr>
          <w:p w14:paraId="6382135C" w14:textId="77777777" w:rsidR="009B4310" w:rsidRPr="008230C6" w:rsidRDefault="009B4310" w:rsidP="009B4310">
            <w:pPr>
              <w:pStyle w:val="Pa10"/>
              <w:spacing w:before="100" w:after="100"/>
              <w:rPr>
                <w:rFonts w:ascii="Arial" w:hAnsi="Arial" w:cs="Arial"/>
                <w:b/>
                <w:bCs/>
                <w:color w:val="000000"/>
                <w:sz w:val="22"/>
                <w:szCs w:val="22"/>
              </w:rPr>
            </w:pPr>
            <w:r w:rsidRPr="008230C6">
              <w:rPr>
                <w:rFonts w:ascii="Arial" w:hAnsi="Arial" w:cs="Arial"/>
                <w:b/>
                <w:bCs/>
                <w:color w:val="000000"/>
                <w:sz w:val="22"/>
                <w:szCs w:val="22"/>
              </w:rPr>
              <w:t>4%</w:t>
            </w:r>
          </w:p>
        </w:tc>
        <w:tc>
          <w:tcPr>
            <w:tcW w:w="1650" w:type="dxa"/>
          </w:tcPr>
          <w:p w14:paraId="102D9009"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5.1%</w:t>
            </w:r>
          </w:p>
        </w:tc>
        <w:tc>
          <w:tcPr>
            <w:tcW w:w="1650" w:type="dxa"/>
          </w:tcPr>
          <w:p w14:paraId="3EFB540E"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6.1%</w:t>
            </w:r>
          </w:p>
        </w:tc>
        <w:tc>
          <w:tcPr>
            <w:tcW w:w="1650" w:type="dxa"/>
          </w:tcPr>
          <w:p w14:paraId="4AD46C0F"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6.6%</w:t>
            </w:r>
          </w:p>
        </w:tc>
        <w:tc>
          <w:tcPr>
            <w:tcW w:w="1664" w:type="dxa"/>
          </w:tcPr>
          <w:p w14:paraId="52426685"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7.6%</w:t>
            </w:r>
          </w:p>
        </w:tc>
      </w:tr>
      <w:tr w:rsidR="009B4310" w:rsidRPr="00973BEF" w14:paraId="6F0EC8AE" w14:textId="77777777" w:rsidTr="009B4310">
        <w:trPr>
          <w:trHeight w:val="141"/>
        </w:trPr>
        <w:tc>
          <w:tcPr>
            <w:tcW w:w="1650" w:type="dxa"/>
          </w:tcPr>
          <w:p w14:paraId="0C5A48D5" w14:textId="77777777" w:rsidR="009B4310" w:rsidRPr="008230C6" w:rsidRDefault="009B4310" w:rsidP="009B4310">
            <w:pPr>
              <w:pStyle w:val="Pa10"/>
              <w:spacing w:before="100" w:after="100"/>
              <w:rPr>
                <w:rFonts w:ascii="Arial" w:hAnsi="Arial" w:cs="Arial"/>
                <w:b/>
                <w:bCs/>
                <w:color w:val="000000"/>
                <w:sz w:val="22"/>
                <w:szCs w:val="22"/>
              </w:rPr>
            </w:pPr>
            <w:r w:rsidRPr="008230C6">
              <w:rPr>
                <w:rFonts w:ascii="Arial" w:hAnsi="Arial" w:cs="Arial"/>
                <w:b/>
                <w:bCs/>
                <w:color w:val="000000"/>
                <w:sz w:val="22"/>
                <w:szCs w:val="22"/>
              </w:rPr>
              <w:t>5%</w:t>
            </w:r>
          </w:p>
        </w:tc>
        <w:tc>
          <w:tcPr>
            <w:tcW w:w="1650" w:type="dxa"/>
          </w:tcPr>
          <w:p w14:paraId="7EA8C4AE"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6.3%</w:t>
            </w:r>
          </w:p>
        </w:tc>
        <w:tc>
          <w:tcPr>
            <w:tcW w:w="1650" w:type="dxa"/>
          </w:tcPr>
          <w:p w14:paraId="2B8E34FC"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7.6%</w:t>
            </w:r>
          </w:p>
        </w:tc>
        <w:tc>
          <w:tcPr>
            <w:tcW w:w="1650" w:type="dxa"/>
          </w:tcPr>
          <w:p w14:paraId="09935F13" w14:textId="77777777" w:rsidR="009B4310" w:rsidRPr="008230C6"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8.2%</w:t>
            </w:r>
          </w:p>
        </w:tc>
        <w:tc>
          <w:tcPr>
            <w:tcW w:w="1664" w:type="dxa"/>
          </w:tcPr>
          <w:p w14:paraId="75B2FFDD" w14:textId="77777777" w:rsidR="009B4310" w:rsidRPr="00973BEF" w:rsidRDefault="009B4310" w:rsidP="009B4310">
            <w:pPr>
              <w:pStyle w:val="Pa0"/>
              <w:spacing w:after="100"/>
              <w:rPr>
                <w:rFonts w:ascii="Arial" w:hAnsi="Arial" w:cs="Arial"/>
                <w:color w:val="000000"/>
                <w:sz w:val="22"/>
                <w:szCs w:val="22"/>
              </w:rPr>
            </w:pPr>
            <w:r w:rsidRPr="008230C6">
              <w:rPr>
                <w:rFonts w:ascii="Arial" w:hAnsi="Arial" w:cs="Arial"/>
                <w:color w:val="000000"/>
                <w:sz w:val="22"/>
                <w:szCs w:val="22"/>
              </w:rPr>
              <w:t>9.4%</w:t>
            </w:r>
          </w:p>
        </w:tc>
      </w:tr>
      <w:tr w:rsidR="009B4310" w:rsidRPr="00973BEF" w14:paraId="1A39A68F" w14:textId="77777777" w:rsidTr="009B4310">
        <w:trPr>
          <w:trHeight w:val="141"/>
        </w:trPr>
        <w:tc>
          <w:tcPr>
            <w:tcW w:w="1650" w:type="dxa"/>
          </w:tcPr>
          <w:p w14:paraId="25359DBE"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6%</w:t>
            </w:r>
          </w:p>
        </w:tc>
        <w:tc>
          <w:tcPr>
            <w:tcW w:w="1650" w:type="dxa"/>
          </w:tcPr>
          <w:p w14:paraId="14F15678"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7.6%</w:t>
            </w:r>
          </w:p>
        </w:tc>
        <w:tc>
          <w:tcPr>
            <w:tcW w:w="1650" w:type="dxa"/>
          </w:tcPr>
          <w:p w14:paraId="098F0846"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9.2%</w:t>
            </w:r>
          </w:p>
        </w:tc>
        <w:tc>
          <w:tcPr>
            <w:tcW w:w="1650" w:type="dxa"/>
          </w:tcPr>
          <w:p w14:paraId="4F3D0E44"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9.8%</w:t>
            </w:r>
          </w:p>
        </w:tc>
        <w:tc>
          <w:tcPr>
            <w:tcW w:w="1664" w:type="dxa"/>
          </w:tcPr>
          <w:p w14:paraId="74592051"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11.3%</w:t>
            </w:r>
          </w:p>
        </w:tc>
      </w:tr>
      <w:tr w:rsidR="009B4310" w:rsidRPr="00973BEF" w14:paraId="5601F9F2" w14:textId="77777777" w:rsidTr="009B4310">
        <w:trPr>
          <w:trHeight w:val="141"/>
        </w:trPr>
        <w:tc>
          <w:tcPr>
            <w:tcW w:w="1650" w:type="dxa"/>
          </w:tcPr>
          <w:p w14:paraId="30B77B6A"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7%</w:t>
            </w:r>
          </w:p>
        </w:tc>
        <w:tc>
          <w:tcPr>
            <w:tcW w:w="1650" w:type="dxa"/>
          </w:tcPr>
          <w:p w14:paraId="0A066595"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8.9%</w:t>
            </w:r>
          </w:p>
        </w:tc>
        <w:tc>
          <w:tcPr>
            <w:tcW w:w="1650" w:type="dxa"/>
          </w:tcPr>
          <w:p w14:paraId="3273B0F7"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10.7%</w:t>
            </w:r>
          </w:p>
        </w:tc>
        <w:tc>
          <w:tcPr>
            <w:tcW w:w="1650" w:type="dxa"/>
          </w:tcPr>
          <w:p w14:paraId="1B58B12D"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11.5%</w:t>
            </w:r>
          </w:p>
        </w:tc>
        <w:tc>
          <w:tcPr>
            <w:tcW w:w="1664" w:type="dxa"/>
          </w:tcPr>
          <w:p w14:paraId="3491BCBA"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 xml:space="preserve">13.2% </w:t>
            </w:r>
          </w:p>
        </w:tc>
      </w:tr>
    </w:tbl>
    <w:p w14:paraId="1A86C0DE" w14:textId="77777777" w:rsidR="00946C1D" w:rsidRPr="00973BEF" w:rsidRDefault="00946C1D" w:rsidP="00973BEF">
      <w:pPr>
        <w:rPr>
          <w:rFonts w:ascii="Arial" w:eastAsia="Times New Roman" w:hAnsi="Arial" w:cs="Arial"/>
          <w:lang w:eastAsia="en-AU"/>
        </w:rPr>
      </w:pPr>
    </w:p>
    <w:p w14:paraId="2C19A14A" w14:textId="77777777" w:rsidR="009B4310" w:rsidRPr="00973BEF" w:rsidRDefault="009B4310" w:rsidP="009B4310">
      <w:pPr>
        <w:rPr>
          <w:rFonts w:ascii="Arial" w:eastAsia="Times New Roman" w:hAnsi="Arial" w:cs="Arial"/>
          <w:sz w:val="22"/>
          <w:szCs w:val="22"/>
          <w:lang w:eastAsia="en-AU"/>
        </w:rPr>
      </w:pPr>
      <w:r w:rsidRPr="00973BEF">
        <w:rPr>
          <w:rFonts w:ascii="Arial" w:eastAsia="Times New Roman" w:hAnsi="Arial" w:cs="Arial"/>
          <w:sz w:val="22"/>
          <w:szCs w:val="22"/>
          <w:lang w:eastAsia="en-AU"/>
        </w:rPr>
        <w:t>You can make unlimited contributions to an Investment Option during the first year after you make your initial investment. In each of the following years, you can contribute up to 125% of the previous year’s contributions without resetting the original investment date for calculating the 10-year period for tax purposes. This is known as the 125% Rule. This means that additional investments can have a term of less than 10 years and the earnings will still be tax paid.</w:t>
      </w:r>
    </w:p>
    <w:p w14:paraId="62763CE5" w14:textId="77777777" w:rsidR="000D0928" w:rsidRPr="00973BEF" w:rsidRDefault="000D0928" w:rsidP="00973BEF">
      <w:pPr>
        <w:pStyle w:val="Pa13"/>
        <w:spacing w:after="100"/>
        <w:rPr>
          <w:rFonts w:ascii="Arial" w:hAnsi="Arial" w:cs="Arial"/>
          <w:color w:val="000000"/>
          <w:sz w:val="18"/>
          <w:szCs w:val="18"/>
          <w:lang w:val="en-US"/>
        </w:rPr>
      </w:pPr>
    </w:p>
    <w:p w14:paraId="61462593" w14:textId="35B4967E" w:rsidR="00946C1D" w:rsidRDefault="00946C1D" w:rsidP="009B4310">
      <w:pPr>
        <w:pStyle w:val="Pa13"/>
        <w:spacing w:after="100"/>
        <w:rPr>
          <w:rFonts w:ascii="Arial" w:eastAsia="Times New Roman" w:hAnsi="Arial" w:cs="Arial"/>
          <w:sz w:val="18"/>
          <w:szCs w:val="18"/>
          <w:lang w:eastAsia="en-AU"/>
        </w:rPr>
      </w:pPr>
    </w:p>
    <w:p w14:paraId="4F12FFF2" w14:textId="070B30A1" w:rsidR="00946C1D" w:rsidRDefault="00946C1D"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You can withdraw your investment (in whole or part) plus any earnings, at or after the end of the 10-year period, and, if you have complied with the 125% Rule, pay no tax. No matter when you make a withdrawal, no tax is payable on the apportioned capital component of your withdrawal (that is, there is effectively no tax payable on any contribution you made).</w:t>
      </w:r>
    </w:p>
    <w:p w14:paraId="535545D6" w14:textId="7EF95C7D" w:rsidR="00973BEF" w:rsidRDefault="00973BEF" w:rsidP="00973BEF">
      <w:pPr>
        <w:rPr>
          <w:rFonts w:ascii="Arial" w:eastAsia="Times New Roman" w:hAnsi="Arial" w:cs="Arial"/>
          <w:sz w:val="22"/>
          <w:szCs w:val="22"/>
          <w:lang w:eastAsia="en-AU"/>
        </w:rPr>
      </w:pPr>
    </w:p>
    <w:p w14:paraId="3F5E3493" w14:textId="1C13CD56" w:rsidR="00973BEF" w:rsidRDefault="00973BEF" w:rsidP="00973BEF">
      <w:pPr>
        <w:rPr>
          <w:rFonts w:ascii="Arial" w:eastAsia="Times New Roman" w:hAnsi="Arial" w:cs="Arial"/>
          <w:sz w:val="22"/>
          <w:szCs w:val="22"/>
          <w:lang w:eastAsia="en-AU"/>
        </w:rPr>
      </w:pPr>
    </w:p>
    <w:p w14:paraId="3EB91F3A" w14:textId="5EEFDCBE" w:rsidR="00973BEF" w:rsidRDefault="00973BEF" w:rsidP="00973BEF">
      <w:pPr>
        <w:rPr>
          <w:rFonts w:ascii="Arial" w:eastAsia="Times New Roman" w:hAnsi="Arial" w:cs="Arial"/>
          <w:sz w:val="22"/>
          <w:szCs w:val="22"/>
          <w:lang w:eastAsia="en-AU"/>
        </w:rPr>
      </w:pPr>
    </w:p>
    <w:p w14:paraId="32F45BB6" w14:textId="636F242A" w:rsidR="00973BEF" w:rsidRDefault="00973BEF" w:rsidP="00973BEF">
      <w:pPr>
        <w:rPr>
          <w:rFonts w:ascii="Arial" w:eastAsia="Times New Roman" w:hAnsi="Arial" w:cs="Arial"/>
          <w:sz w:val="22"/>
          <w:szCs w:val="22"/>
          <w:lang w:eastAsia="en-AU"/>
        </w:rPr>
      </w:pPr>
    </w:p>
    <w:p w14:paraId="39CB514D" w14:textId="47FABBFB" w:rsidR="00973BEF" w:rsidRDefault="00973BEF" w:rsidP="00973BEF">
      <w:pPr>
        <w:rPr>
          <w:rFonts w:ascii="Arial" w:eastAsia="Times New Roman" w:hAnsi="Arial" w:cs="Arial"/>
          <w:sz w:val="22"/>
          <w:szCs w:val="22"/>
          <w:lang w:eastAsia="en-AU"/>
        </w:rPr>
      </w:pPr>
    </w:p>
    <w:p w14:paraId="790A712F" w14:textId="20A51296" w:rsidR="00973BEF" w:rsidRDefault="00973BEF" w:rsidP="00973BEF">
      <w:pPr>
        <w:rPr>
          <w:rFonts w:ascii="Arial" w:eastAsia="Times New Roman" w:hAnsi="Arial" w:cs="Arial"/>
          <w:sz w:val="22"/>
          <w:szCs w:val="22"/>
          <w:lang w:eastAsia="en-AU"/>
        </w:rPr>
      </w:pPr>
    </w:p>
    <w:p w14:paraId="77C6B75E" w14:textId="1D7577CD" w:rsidR="00973BEF" w:rsidRDefault="00973BEF" w:rsidP="00973BEF">
      <w:pPr>
        <w:rPr>
          <w:rFonts w:ascii="Arial" w:eastAsia="Times New Roman" w:hAnsi="Arial" w:cs="Arial"/>
          <w:sz w:val="22"/>
          <w:szCs w:val="22"/>
          <w:lang w:eastAsia="en-AU"/>
        </w:rPr>
      </w:pPr>
    </w:p>
    <w:p w14:paraId="3E81C79E" w14:textId="13D3D191" w:rsidR="00973BEF" w:rsidRDefault="00973BEF" w:rsidP="00973BEF">
      <w:pPr>
        <w:rPr>
          <w:rFonts w:ascii="Arial" w:eastAsia="Times New Roman" w:hAnsi="Arial" w:cs="Arial"/>
          <w:sz w:val="22"/>
          <w:szCs w:val="22"/>
          <w:lang w:eastAsia="en-AU"/>
        </w:rPr>
      </w:pPr>
    </w:p>
    <w:p w14:paraId="401B60FF" w14:textId="7564EEC0" w:rsidR="00973BEF" w:rsidRDefault="00973BEF" w:rsidP="00973BEF">
      <w:pPr>
        <w:rPr>
          <w:rFonts w:ascii="Arial" w:eastAsia="Times New Roman" w:hAnsi="Arial" w:cs="Arial"/>
          <w:sz w:val="22"/>
          <w:szCs w:val="22"/>
          <w:lang w:eastAsia="en-AU"/>
        </w:rPr>
      </w:pPr>
    </w:p>
    <w:p w14:paraId="3C282CF8" w14:textId="6C51EB40" w:rsidR="00973BEF" w:rsidRDefault="00973BEF" w:rsidP="00973BEF">
      <w:pPr>
        <w:rPr>
          <w:rFonts w:ascii="Arial" w:eastAsia="Times New Roman" w:hAnsi="Arial" w:cs="Arial"/>
          <w:sz w:val="22"/>
          <w:szCs w:val="22"/>
          <w:lang w:eastAsia="en-AU"/>
        </w:rPr>
      </w:pPr>
    </w:p>
    <w:p w14:paraId="1DBAE931" w14:textId="2690C8DB" w:rsidR="00973BEF" w:rsidRDefault="00973BEF" w:rsidP="00973BEF">
      <w:pPr>
        <w:rPr>
          <w:rFonts w:ascii="Arial" w:eastAsia="Times New Roman" w:hAnsi="Arial" w:cs="Arial"/>
          <w:sz w:val="22"/>
          <w:szCs w:val="22"/>
          <w:lang w:eastAsia="en-AU"/>
        </w:rPr>
      </w:pPr>
    </w:p>
    <w:p w14:paraId="1B763B0C" w14:textId="21C40BC2" w:rsidR="00973BEF" w:rsidRDefault="00973BEF" w:rsidP="00973BEF">
      <w:pPr>
        <w:rPr>
          <w:rFonts w:ascii="Arial" w:eastAsia="Times New Roman" w:hAnsi="Arial" w:cs="Arial"/>
          <w:sz w:val="22"/>
          <w:szCs w:val="22"/>
          <w:lang w:eastAsia="en-AU"/>
        </w:rPr>
      </w:pPr>
    </w:p>
    <w:p w14:paraId="7903E77E" w14:textId="25D4BAB2" w:rsidR="00973BEF" w:rsidRDefault="00973BEF" w:rsidP="00973BEF">
      <w:pPr>
        <w:rPr>
          <w:rFonts w:ascii="Arial" w:eastAsia="Times New Roman" w:hAnsi="Arial" w:cs="Arial"/>
          <w:sz w:val="22"/>
          <w:szCs w:val="22"/>
          <w:lang w:eastAsia="en-AU"/>
        </w:rPr>
      </w:pPr>
    </w:p>
    <w:p w14:paraId="6D0B041F" w14:textId="5AAA01B6" w:rsidR="00973BEF" w:rsidRDefault="00973BEF" w:rsidP="00973BEF">
      <w:pPr>
        <w:rPr>
          <w:rFonts w:ascii="Arial" w:eastAsia="Times New Roman" w:hAnsi="Arial" w:cs="Arial"/>
          <w:sz w:val="22"/>
          <w:szCs w:val="22"/>
          <w:lang w:eastAsia="en-AU"/>
        </w:rPr>
      </w:pPr>
    </w:p>
    <w:p w14:paraId="4710850C" w14:textId="5FCD06B5" w:rsidR="00973BEF" w:rsidRDefault="00973BEF" w:rsidP="00973BEF">
      <w:pPr>
        <w:rPr>
          <w:rFonts w:ascii="Arial" w:eastAsia="Times New Roman" w:hAnsi="Arial" w:cs="Arial"/>
          <w:sz w:val="22"/>
          <w:szCs w:val="22"/>
          <w:lang w:eastAsia="en-AU"/>
        </w:rPr>
      </w:pPr>
    </w:p>
    <w:p w14:paraId="5787366D" w14:textId="793FEA48" w:rsidR="00973BEF" w:rsidRDefault="00973BEF" w:rsidP="00973BEF">
      <w:pPr>
        <w:rPr>
          <w:rFonts w:ascii="Arial" w:eastAsia="Times New Roman" w:hAnsi="Arial" w:cs="Arial"/>
          <w:sz w:val="22"/>
          <w:szCs w:val="22"/>
          <w:lang w:eastAsia="en-AU"/>
        </w:rPr>
      </w:pPr>
    </w:p>
    <w:p w14:paraId="240BC192" w14:textId="720DC9CA" w:rsidR="00973BEF" w:rsidRDefault="00973BEF" w:rsidP="00973BEF">
      <w:pPr>
        <w:rPr>
          <w:rFonts w:ascii="Arial" w:eastAsia="Times New Roman" w:hAnsi="Arial" w:cs="Arial"/>
          <w:sz w:val="22"/>
          <w:szCs w:val="22"/>
          <w:lang w:eastAsia="en-AU"/>
        </w:rPr>
      </w:pPr>
    </w:p>
    <w:p w14:paraId="16033CBA" w14:textId="153D663E" w:rsidR="00973BEF" w:rsidRDefault="00973BEF" w:rsidP="00973BEF">
      <w:pPr>
        <w:rPr>
          <w:rFonts w:ascii="Arial" w:eastAsia="Times New Roman" w:hAnsi="Arial" w:cs="Arial"/>
          <w:sz w:val="22"/>
          <w:szCs w:val="22"/>
          <w:lang w:eastAsia="en-AU"/>
        </w:rPr>
      </w:pPr>
    </w:p>
    <w:p w14:paraId="6F88149D" w14:textId="528BBECC" w:rsidR="00973BEF" w:rsidRDefault="00973BEF" w:rsidP="00973BEF">
      <w:pPr>
        <w:rPr>
          <w:rFonts w:ascii="Arial" w:eastAsia="Times New Roman" w:hAnsi="Arial" w:cs="Arial"/>
          <w:sz w:val="22"/>
          <w:szCs w:val="22"/>
          <w:lang w:eastAsia="en-AU"/>
        </w:rPr>
      </w:pPr>
    </w:p>
    <w:p w14:paraId="56238A60" w14:textId="2C805ECA" w:rsidR="00973BEF" w:rsidRDefault="00973BEF" w:rsidP="00973BEF">
      <w:pPr>
        <w:rPr>
          <w:rFonts w:ascii="Arial" w:eastAsia="Times New Roman" w:hAnsi="Arial" w:cs="Arial"/>
          <w:sz w:val="22"/>
          <w:szCs w:val="22"/>
          <w:lang w:eastAsia="en-AU"/>
        </w:rPr>
      </w:pPr>
    </w:p>
    <w:p w14:paraId="53C14406" w14:textId="385B6F73" w:rsidR="00973BEF" w:rsidRDefault="00973BEF" w:rsidP="00973BEF">
      <w:pPr>
        <w:rPr>
          <w:rFonts w:ascii="Arial" w:eastAsia="Times New Roman" w:hAnsi="Arial" w:cs="Arial"/>
          <w:sz w:val="22"/>
          <w:szCs w:val="22"/>
          <w:lang w:eastAsia="en-AU"/>
        </w:rPr>
      </w:pPr>
    </w:p>
    <w:p w14:paraId="26CF5D61" w14:textId="7C3E1A77" w:rsidR="00973BEF" w:rsidRDefault="00973BEF" w:rsidP="00973BEF">
      <w:pPr>
        <w:rPr>
          <w:rFonts w:ascii="Arial" w:eastAsia="Times New Roman" w:hAnsi="Arial" w:cs="Arial"/>
          <w:sz w:val="22"/>
          <w:szCs w:val="22"/>
          <w:lang w:eastAsia="en-AU"/>
        </w:rPr>
      </w:pPr>
    </w:p>
    <w:p w14:paraId="758A4B53" w14:textId="5578B858" w:rsidR="00973BEF" w:rsidRDefault="00973BEF" w:rsidP="00973BEF">
      <w:pPr>
        <w:rPr>
          <w:rFonts w:ascii="Arial" w:eastAsia="Times New Roman" w:hAnsi="Arial" w:cs="Arial"/>
          <w:sz w:val="22"/>
          <w:szCs w:val="22"/>
          <w:lang w:eastAsia="en-AU"/>
        </w:rPr>
      </w:pPr>
    </w:p>
    <w:p w14:paraId="1344F84A" w14:textId="57F5ED12" w:rsidR="00973BEF" w:rsidRDefault="00973BEF" w:rsidP="00973BEF">
      <w:pPr>
        <w:rPr>
          <w:rFonts w:ascii="Arial" w:eastAsia="Times New Roman" w:hAnsi="Arial" w:cs="Arial"/>
          <w:sz w:val="22"/>
          <w:szCs w:val="22"/>
          <w:lang w:eastAsia="en-AU"/>
        </w:rPr>
      </w:pPr>
    </w:p>
    <w:p w14:paraId="1094C29A" w14:textId="35FA5979" w:rsidR="00973BEF" w:rsidRDefault="00973BEF" w:rsidP="00973BEF">
      <w:pPr>
        <w:rPr>
          <w:rFonts w:ascii="Arial" w:eastAsia="Times New Roman" w:hAnsi="Arial" w:cs="Arial"/>
          <w:sz w:val="22"/>
          <w:szCs w:val="22"/>
          <w:lang w:eastAsia="en-AU"/>
        </w:rPr>
      </w:pPr>
    </w:p>
    <w:p w14:paraId="60475464" w14:textId="2B7D6D93" w:rsidR="00973BEF" w:rsidRDefault="00973BEF" w:rsidP="00973BEF">
      <w:pPr>
        <w:rPr>
          <w:rFonts w:ascii="Arial" w:eastAsia="Times New Roman" w:hAnsi="Arial" w:cs="Arial"/>
          <w:sz w:val="22"/>
          <w:szCs w:val="22"/>
          <w:lang w:eastAsia="en-AU"/>
        </w:rPr>
      </w:pPr>
    </w:p>
    <w:p w14:paraId="05E173CD" w14:textId="35243951" w:rsidR="00973BEF" w:rsidRDefault="00973BEF" w:rsidP="00973BEF">
      <w:pPr>
        <w:rPr>
          <w:rFonts w:ascii="Arial" w:eastAsia="Times New Roman" w:hAnsi="Arial" w:cs="Arial"/>
          <w:sz w:val="22"/>
          <w:szCs w:val="22"/>
          <w:lang w:eastAsia="en-AU"/>
        </w:rPr>
      </w:pPr>
    </w:p>
    <w:p w14:paraId="49B7BAF5" w14:textId="288C1D60" w:rsidR="00973BEF" w:rsidRDefault="00973BEF" w:rsidP="00973BEF">
      <w:pPr>
        <w:rPr>
          <w:rFonts w:ascii="Arial" w:eastAsia="Times New Roman" w:hAnsi="Arial" w:cs="Arial"/>
          <w:sz w:val="22"/>
          <w:szCs w:val="22"/>
          <w:lang w:eastAsia="en-AU"/>
        </w:rPr>
      </w:pPr>
    </w:p>
    <w:p w14:paraId="224FB395" w14:textId="66A92E72" w:rsidR="00973BEF" w:rsidRDefault="00973BEF" w:rsidP="00973BEF">
      <w:pPr>
        <w:rPr>
          <w:rFonts w:ascii="Arial" w:eastAsia="Times New Roman" w:hAnsi="Arial" w:cs="Arial"/>
          <w:sz w:val="22"/>
          <w:szCs w:val="22"/>
          <w:lang w:eastAsia="en-AU"/>
        </w:rPr>
      </w:pPr>
    </w:p>
    <w:p w14:paraId="0367CB05" w14:textId="3FE43F1B" w:rsidR="00973BEF" w:rsidRDefault="00973BEF" w:rsidP="00973BEF">
      <w:pPr>
        <w:rPr>
          <w:rFonts w:ascii="Arial" w:eastAsia="Times New Roman" w:hAnsi="Arial" w:cs="Arial"/>
          <w:sz w:val="22"/>
          <w:szCs w:val="22"/>
          <w:lang w:eastAsia="en-AU"/>
        </w:rPr>
      </w:pPr>
    </w:p>
    <w:p w14:paraId="3255C2CE" w14:textId="1F1F2411" w:rsidR="00973BEF" w:rsidRDefault="00973BEF" w:rsidP="00973BEF">
      <w:pPr>
        <w:rPr>
          <w:rFonts w:ascii="Arial" w:eastAsia="Times New Roman" w:hAnsi="Arial" w:cs="Arial"/>
          <w:sz w:val="22"/>
          <w:szCs w:val="22"/>
          <w:lang w:eastAsia="en-AU"/>
        </w:rPr>
      </w:pPr>
    </w:p>
    <w:p w14:paraId="08B761BE" w14:textId="7E2D6706" w:rsidR="00973BEF" w:rsidRDefault="00973BEF" w:rsidP="00973BEF">
      <w:pPr>
        <w:rPr>
          <w:rFonts w:ascii="Arial" w:eastAsia="Times New Roman" w:hAnsi="Arial" w:cs="Arial"/>
          <w:sz w:val="22"/>
          <w:szCs w:val="22"/>
          <w:lang w:eastAsia="en-AU"/>
        </w:rPr>
      </w:pPr>
    </w:p>
    <w:p w14:paraId="2ED64971" w14:textId="6DCC3C0E" w:rsidR="00973BEF" w:rsidRDefault="00973BEF" w:rsidP="00973BEF">
      <w:pPr>
        <w:rPr>
          <w:rFonts w:ascii="Arial" w:eastAsia="Times New Roman" w:hAnsi="Arial" w:cs="Arial"/>
          <w:sz w:val="22"/>
          <w:szCs w:val="22"/>
          <w:lang w:eastAsia="en-AU"/>
        </w:rPr>
      </w:pPr>
    </w:p>
    <w:p w14:paraId="4F28D447" w14:textId="6C6496E9" w:rsidR="00973BEF" w:rsidRDefault="00973BEF" w:rsidP="00973BEF">
      <w:pPr>
        <w:rPr>
          <w:rFonts w:ascii="Arial" w:eastAsia="Times New Roman" w:hAnsi="Arial" w:cs="Arial"/>
          <w:sz w:val="22"/>
          <w:szCs w:val="22"/>
          <w:lang w:eastAsia="en-AU"/>
        </w:rPr>
      </w:pPr>
    </w:p>
    <w:p w14:paraId="69FE50CB" w14:textId="5C6E682A" w:rsidR="00973BEF" w:rsidRDefault="00973BEF" w:rsidP="00973BEF">
      <w:pPr>
        <w:rPr>
          <w:rFonts w:ascii="Arial" w:eastAsia="Times New Roman" w:hAnsi="Arial" w:cs="Arial"/>
          <w:sz w:val="22"/>
          <w:szCs w:val="22"/>
          <w:lang w:eastAsia="en-AU"/>
        </w:rPr>
      </w:pPr>
    </w:p>
    <w:p w14:paraId="129F0D18" w14:textId="7AC61287" w:rsidR="00973BEF" w:rsidRDefault="00973BEF" w:rsidP="00973BEF">
      <w:pPr>
        <w:rPr>
          <w:rFonts w:ascii="Arial" w:eastAsia="Times New Roman" w:hAnsi="Arial" w:cs="Arial"/>
          <w:sz w:val="22"/>
          <w:szCs w:val="22"/>
          <w:lang w:eastAsia="en-AU"/>
        </w:rPr>
      </w:pPr>
    </w:p>
    <w:p w14:paraId="1BC1C9D2" w14:textId="74682BAB" w:rsidR="00973BEF" w:rsidRDefault="00973BEF" w:rsidP="00973BEF">
      <w:pPr>
        <w:rPr>
          <w:rFonts w:ascii="Arial" w:eastAsia="Times New Roman" w:hAnsi="Arial" w:cs="Arial"/>
          <w:sz w:val="22"/>
          <w:szCs w:val="22"/>
          <w:lang w:eastAsia="en-AU"/>
        </w:rPr>
      </w:pPr>
    </w:p>
    <w:p w14:paraId="5B6029AB" w14:textId="132B6A5A" w:rsidR="00973BEF" w:rsidRDefault="00973BEF" w:rsidP="00973BEF">
      <w:pPr>
        <w:rPr>
          <w:rFonts w:ascii="Arial" w:eastAsia="Times New Roman" w:hAnsi="Arial" w:cs="Arial"/>
          <w:sz w:val="22"/>
          <w:szCs w:val="22"/>
          <w:lang w:eastAsia="en-AU"/>
        </w:rPr>
      </w:pPr>
    </w:p>
    <w:p w14:paraId="039BC163" w14:textId="09569968" w:rsidR="00973BEF" w:rsidRDefault="00973BEF" w:rsidP="00973BEF">
      <w:pPr>
        <w:rPr>
          <w:rFonts w:ascii="Arial" w:eastAsia="Times New Roman" w:hAnsi="Arial" w:cs="Arial"/>
          <w:sz w:val="22"/>
          <w:szCs w:val="22"/>
          <w:lang w:eastAsia="en-AU"/>
        </w:rPr>
      </w:pPr>
    </w:p>
    <w:p w14:paraId="5A47E539" w14:textId="1331AFA0" w:rsidR="00973BEF" w:rsidRDefault="00973BEF" w:rsidP="00973BEF">
      <w:pPr>
        <w:rPr>
          <w:rFonts w:ascii="Arial" w:eastAsia="Times New Roman" w:hAnsi="Arial" w:cs="Arial"/>
          <w:sz w:val="22"/>
          <w:szCs w:val="22"/>
          <w:lang w:eastAsia="en-AU"/>
        </w:rPr>
      </w:pPr>
    </w:p>
    <w:p w14:paraId="742B4086" w14:textId="3A5745BF" w:rsidR="00973BEF" w:rsidRDefault="00973BEF" w:rsidP="00973BEF">
      <w:pPr>
        <w:rPr>
          <w:rFonts w:ascii="Arial" w:eastAsia="Times New Roman" w:hAnsi="Arial" w:cs="Arial"/>
          <w:sz w:val="22"/>
          <w:szCs w:val="22"/>
          <w:lang w:eastAsia="en-AU"/>
        </w:rPr>
      </w:pPr>
    </w:p>
    <w:p w14:paraId="411B8DF9" w14:textId="59225E46" w:rsidR="00973BEF" w:rsidRDefault="00973BEF" w:rsidP="00973BEF">
      <w:pPr>
        <w:rPr>
          <w:rFonts w:ascii="Arial" w:eastAsia="Times New Roman" w:hAnsi="Arial" w:cs="Arial"/>
          <w:sz w:val="22"/>
          <w:szCs w:val="22"/>
          <w:lang w:eastAsia="en-AU"/>
        </w:rPr>
      </w:pPr>
    </w:p>
    <w:p w14:paraId="168794F3" w14:textId="6A69E8DE" w:rsidR="00973BEF" w:rsidRDefault="00973BEF" w:rsidP="00973BEF">
      <w:pPr>
        <w:rPr>
          <w:rFonts w:ascii="Arial" w:eastAsia="Times New Roman" w:hAnsi="Arial" w:cs="Arial"/>
          <w:sz w:val="22"/>
          <w:szCs w:val="22"/>
          <w:lang w:eastAsia="en-AU"/>
        </w:rPr>
      </w:pPr>
    </w:p>
    <w:p w14:paraId="7C178E7F" w14:textId="2EC29606" w:rsidR="00973BEF" w:rsidRDefault="00973BEF" w:rsidP="00973BEF">
      <w:pPr>
        <w:rPr>
          <w:rFonts w:ascii="Arial" w:eastAsia="Times New Roman" w:hAnsi="Arial" w:cs="Arial"/>
          <w:sz w:val="22"/>
          <w:szCs w:val="22"/>
          <w:lang w:eastAsia="en-AU"/>
        </w:rPr>
      </w:pPr>
    </w:p>
    <w:p w14:paraId="7A022FA1" w14:textId="77777777" w:rsidR="00973BEF" w:rsidRPr="00973BEF" w:rsidRDefault="00973BEF" w:rsidP="00973BEF">
      <w:pPr>
        <w:rPr>
          <w:rFonts w:ascii="Arial" w:eastAsia="Times New Roman" w:hAnsi="Arial" w:cs="Arial"/>
          <w:sz w:val="22"/>
          <w:szCs w:val="22"/>
          <w:lang w:eastAsia="en-AU"/>
        </w:rPr>
      </w:pPr>
    </w:p>
    <w:p w14:paraId="754C4FAE" w14:textId="780EBFEA" w:rsidR="0010733B" w:rsidRDefault="0010733B">
      <w:pPr>
        <w:rPr>
          <w:rFonts w:ascii="Arial" w:eastAsia="Times New Roman" w:hAnsi="Arial" w:cs="Arial"/>
          <w:sz w:val="22"/>
          <w:szCs w:val="22"/>
          <w:lang w:eastAsia="en-AU"/>
        </w:rPr>
      </w:pPr>
      <w:r>
        <w:rPr>
          <w:rFonts w:ascii="Arial" w:eastAsia="Times New Roman" w:hAnsi="Arial" w:cs="Arial"/>
          <w:sz w:val="22"/>
          <w:szCs w:val="22"/>
          <w:lang w:eastAsia="en-AU"/>
        </w:rPr>
        <w:br w:type="page"/>
      </w:r>
    </w:p>
    <w:p w14:paraId="26F1BBA9" w14:textId="224C2A98" w:rsidR="00946C1D" w:rsidRPr="00973BEF" w:rsidRDefault="00946C1D" w:rsidP="00973BEF">
      <w:pPr>
        <w:pStyle w:val="Heading2"/>
        <w:numPr>
          <w:ilvl w:val="0"/>
          <w:numId w:val="5"/>
        </w:numPr>
        <w:ind w:left="0" w:firstLine="0"/>
        <w:rPr>
          <w:rFonts w:ascii="Arial" w:hAnsi="Arial" w:cs="Arial"/>
          <w:b/>
        </w:rPr>
      </w:pPr>
      <w:bookmarkStart w:id="9" w:name="_Toc52180449"/>
      <w:r w:rsidRPr="00973BEF">
        <w:rPr>
          <w:rFonts w:ascii="Arial" w:hAnsi="Arial" w:cs="Arial"/>
          <w:b/>
        </w:rPr>
        <w:lastRenderedPageBreak/>
        <w:t>Investment alternative/supplement to Superannuation</w:t>
      </w:r>
      <w:bookmarkEnd w:id="9"/>
    </w:p>
    <w:p w14:paraId="5F0ADEB6" w14:textId="77777777" w:rsidR="00383CA0" w:rsidRPr="00973BEF" w:rsidRDefault="00383CA0" w:rsidP="00973BEF">
      <w:pPr>
        <w:rPr>
          <w:rFonts w:ascii="Arial" w:hAnsi="Arial" w:cs="Arial"/>
          <w:lang w:val="en-AU"/>
        </w:rPr>
      </w:pPr>
    </w:p>
    <w:p w14:paraId="22B90695" w14:textId="77777777"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Superannuation is a tax-effective way in which to save for retirement, with investment earnings concessionally taxed at 15% and (like Centuria LifeGoals) superannuation investments are tax-paid.</w:t>
      </w:r>
    </w:p>
    <w:p w14:paraId="2F3E40D8" w14:textId="5C6C4C10"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 xml:space="preserve">However, there are </w:t>
      </w:r>
      <w:r w:rsidR="000D0928" w:rsidRPr="00973BEF">
        <w:rPr>
          <w:rFonts w:ascii="Arial" w:eastAsia="Times New Roman" w:hAnsi="Arial" w:cs="Arial"/>
          <w:b w:val="0"/>
          <w:bCs w:val="0"/>
          <w:color w:val="auto"/>
          <w:sz w:val="22"/>
          <w:szCs w:val="22"/>
          <w:lang w:eastAsia="en-AU"/>
        </w:rPr>
        <w:t>several</w:t>
      </w:r>
      <w:r w:rsidRPr="00973BEF">
        <w:rPr>
          <w:rFonts w:ascii="Arial" w:eastAsia="Times New Roman" w:hAnsi="Arial" w:cs="Arial"/>
          <w:b w:val="0"/>
          <w:bCs w:val="0"/>
          <w:color w:val="auto"/>
          <w:sz w:val="22"/>
          <w:szCs w:val="22"/>
          <w:lang w:eastAsia="en-AU"/>
        </w:rPr>
        <w:t xml:space="preserve"> limitations that apply to superannuation:</w:t>
      </w:r>
    </w:p>
    <w:p w14:paraId="024A7996" w14:textId="7819FA8E"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Most of us can’t access our superannuation until we are at least 65 years of age.</w:t>
      </w:r>
    </w:p>
    <w:p w14:paraId="7E271E2B" w14:textId="7A755793"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There are limits on how much you can contribute to superannuation.</w:t>
      </w:r>
    </w:p>
    <w:p w14:paraId="3DBD5E0C" w14:textId="263FD905"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There is a maximum account balance once retirement is reached.</w:t>
      </w:r>
    </w:p>
    <w:p w14:paraId="24CDB7AC" w14:textId="77777777"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Centuria LifeGoals are a tax-effective investment that addresses these limitations. With Centuria LifeGoals, you can access your investment at any time and the only limit on contributions is the 125% Rule, so that you can supplement your capped superannuation contributions and balances. To obtain the full taxation benefits applicable to Centuria LifeGoals you should comply with the 125% Rule and hold your investment for 10 years from the first contribution you make.</w:t>
      </w:r>
    </w:p>
    <w:p w14:paraId="44AF82F1" w14:textId="77777777" w:rsidR="009B4310" w:rsidRDefault="009B4310" w:rsidP="00973BEF">
      <w:pPr>
        <w:pStyle w:val="SubHeader-RED"/>
        <w:rPr>
          <w:rFonts w:ascii="Arial" w:eastAsia="Times New Roman" w:hAnsi="Arial" w:cs="Arial"/>
          <w:color w:val="auto"/>
          <w:sz w:val="24"/>
          <w:szCs w:val="24"/>
          <w:lang w:eastAsia="en-AU"/>
        </w:rPr>
      </w:pPr>
    </w:p>
    <w:p w14:paraId="3CDE3774" w14:textId="77777777" w:rsidR="009B4310" w:rsidRDefault="009B4310" w:rsidP="00973BEF">
      <w:pPr>
        <w:pStyle w:val="SubHeader-RED"/>
        <w:rPr>
          <w:rFonts w:ascii="Arial" w:eastAsia="Times New Roman" w:hAnsi="Arial" w:cs="Arial"/>
          <w:color w:val="auto"/>
          <w:sz w:val="24"/>
          <w:szCs w:val="24"/>
          <w:lang w:eastAsia="en-AU"/>
        </w:rPr>
      </w:pPr>
    </w:p>
    <w:p w14:paraId="51D665F2" w14:textId="77777777" w:rsidR="009B4310" w:rsidRDefault="009B4310" w:rsidP="00973BEF">
      <w:pPr>
        <w:pStyle w:val="SubHeader-RED"/>
        <w:rPr>
          <w:rFonts w:ascii="Arial" w:eastAsia="Times New Roman" w:hAnsi="Arial" w:cs="Arial"/>
          <w:color w:val="auto"/>
          <w:sz w:val="24"/>
          <w:szCs w:val="24"/>
          <w:lang w:eastAsia="en-AU"/>
        </w:rPr>
      </w:pPr>
    </w:p>
    <w:p w14:paraId="2A389F2B" w14:textId="77777777" w:rsidR="009B4310" w:rsidRDefault="009B4310" w:rsidP="00973BEF">
      <w:pPr>
        <w:pStyle w:val="SubHeader-RED"/>
        <w:rPr>
          <w:rFonts w:ascii="Arial" w:eastAsia="Times New Roman" w:hAnsi="Arial" w:cs="Arial"/>
          <w:color w:val="auto"/>
          <w:sz w:val="24"/>
          <w:szCs w:val="24"/>
          <w:lang w:eastAsia="en-AU"/>
        </w:rPr>
      </w:pPr>
    </w:p>
    <w:p w14:paraId="5FE47B86" w14:textId="77777777" w:rsidR="009B4310" w:rsidRDefault="009B4310" w:rsidP="00973BEF">
      <w:pPr>
        <w:pStyle w:val="SubHeader-RED"/>
        <w:rPr>
          <w:rFonts w:ascii="Arial" w:eastAsia="Times New Roman" w:hAnsi="Arial" w:cs="Arial"/>
          <w:color w:val="auto"/>
          <w:sz w:val="24"/>
          <w:szCs w:val="24"/>
          <w:lang w:eastAsia="en-AU"/>
        </w:rPr>
      </w:pPr>
    </w:p>
    <w:p w14:paraId="1BB519EB" w14:textId="77777777" w:rsidR="009B4310" w:rsidRDefault="009B4310" w:rsidP="00973BEF">
      <w:pPr>
        <w:pStyle w:val="SubHeader-RED"/>
        <w:rPr>
          <w:rFonts w:ascii="Arial" w:eastAsia="Times New Roman" w:hAnsi="Arial" w:cs="Arial"/>
          <w:color w:val="auto"/>
          <w:sz w:val="24"/>
          <w:szCs w:val="24"/>
          <w:lang w:eastAsia="en-AU"/>
        </w:rPr>
      </w:pPr>
    </w:p>
    <w:p w14:paraId="33504102" w14:textId="77777777" w:rsidR="009B4310" w:rsidRDefault="009B4310" w:rsidP="00973BEF">
      <w:pPr>
        <w:pStyle w:val="SubHeader-RED"/>
        <w:rPr>
          <w:rFonts w:ascii="Arial" w:eastAsia="Times New Roman" w:hAnsi="Arial" w:cs="Arial"/>
          <w:color w:val="auto"/>
          <w:sz w:val="24"/>
          <w:szCs w:val="24"/>
          <w:lang w:eastAsia="en-AU"/>
        </w:rPr>
      </w:pPr>
    </w:p>
    <w:p w14:paraId="670F9713" w14:textId="77777777" w:rsidR="009B4310" w:rsidRDefault="009B4310" w:rsidP="00973BEF">
      <w:pPr>
        <w:pStyle w:val="SubHeader-RED"/>
        <w:rPr>
          <w:rFonts w:ascii="Arial" w:eastAsia="Times New Roman" w:hAnsi="Arial" w:cs="Arial"/>
          <w:color w:val="auto"/>
          <w:sz w:val="24"/>
          <w:szCs w:val="24"/>
          <w:lang w:eastAsia="en-AU"/>
        </w:rPr>
      </w:pPr>
    </w:p>
    <w:p w14:paraId="60820453" w14:textId="77777777" w:rsidR="009B4310" w:rsidRDefault="009B4310" w:rsidP="00973BEF">
      <w:pPr>
        <w:pStyle w:val="SubHeader-RED"/>
        <w:rPr>
          <w:rFonts w:ascii="Arial" w:eastAsia="Times New Roman" w:hAnsi="Arial" w:cs="Arial"/>
          <w:color w:val="auto"/>
          <w:sz w:val="24"/>
          <w:szCs w:val="24"/>
          <w:lang w:eastAsia="en-AU"/>
        </w:rPr>
      </w:pPr>
    </w:p>
    <w:p w14:paraId="7546F3AA" w14:textId="77777777" w:rsidR="009B4310" w:rsidRDefault="009B4310" w:rsidP="00973BEF">
      <w:pPr>
        <w:pStyle w:val="SubHeader-RED"/>
        <w:rPr>
          <w:rFonts w:ascii="Arial" w:eastAsia="Times New Roman" w:hAnsi="Arial" w:cs="Arial"/>
          <w:color w:val="auto"/>
          <w:sz w:val="24"/>
          <w:szCs w:val="24"/>
          <w:lang w:eastAsia="en-AU"/>
        </w:rPr>
      </w:pPr>
    </w:p>
    <w:p w14:paraId="6F4385DF" w14:textId="77777777" w:rsidR="009B4310" w:rsidRDefault="009B4310" w:rsidP="00973BEF">
      <w:pPr>
        <w:pStyle w:val="SubHeader-RED"/>
        <w:rPr>
          <w:rFonts w:ascii="Arial" w:eastAsia="Times New Roman" w:hAnsi="Arial" w:cs="Arial"/>
          <w:color w:val="auto"/>
          <w:sz w:val="24"/>
          <w:szCs w:val="24"/>
          <w:lang w:eastAsia="en-AU"/>
        </w:rPr>
      </w:pPr>
    </w:p>
    <w:p w14:paraId="4F7876C2" w14:textId="77777777" w:rsidR="009B4310" w:rsidRDefault="009B4310" w:rsidP="00973BEF">
      <w:pPr>
        <w:pStyle w:val="SubHeader-RED"/>
        <w:rPr>
          <w:rFonts w:ascii="Arial" w:eastAsia="Times New Roman" w:hAnsi="Arial" w:cs="Arial"/>
          <w:color w:val="auto"/>
          <w:sz w:val="24"/>
          <w:szCs w:val="24"/>
          <w:lang w:eastAsia="en-AU"/>
        </w:rPr>
      </w:pPr>
    </w:p>
    <w:p w14:paraId="11FCEC5E" w14:textId="77777777" w:rsidR="009B4310" w:rsidRDefault="009B4310" w:rsidP="00973BEF">
      <w:pPr>
        <w:pStyle w:val="SubHeader-RED"/>
        <w:rPr>
          <w:rFonts w:ascii="Arial" w:eastAsia="Times New Roman" w:hAnsi="Arial" w:cs="Arial"/>
          <w:color w:val="auto"/>
          <w:sz w:val="24"/>
          <w:szCs w:val="24"/>
          <w:lang w:eastAsia="en-AU"/>
        </w:rPr>
      </w:pPr>
    </w:p>
    <w:p w14:paraId="5BF17803" w14:textId="77777777" w:rsidR="009B4310" w:rsidRDefault="009B4310" w:rsidP="00973BEF">
      <w:pPr>
        <w:pStyle w:val="SubHeader-RED"/>
        <w:rPr>
          <w:rFonts w:ascii="Arial" w:eastAsia="Times New Roman" w:hAnsi="Arial" w:cs="Arial"/>
          <w:color w:val="auto"/>
          <w:sz w:val="24"/>
          <w:szCs w:val="24"/>
          <w:lang w:eastAsia="en-AU"/>
        </w:rPr>
      </w:pPr>
    </w:p>
    <w:p w14:paraId="66906F3A" w14:textId="77777777" w:rsidR="009B4310" w:rsidRDefault="009B4310" w:rsidP="00973BEF">
      <w:pPr>
        <w:pStyle w:val="SubHeader-RED"/>
        <w:rPr>
          <w:rFonts w:ascii="Arial" w:eastAsia="Times New Roman" w:hAnsi="Arial" w:cs="Arial"/>
          <w:color w:val="auto"/>
          <w:sz w:val="24"/>
          <w:szCs w:val="24"/>
          <w:lang w:eastAsia="en-AU"/>
        </w:rPr>
      </w:pPr>
    </w:p>
    <w:p w14:paraId="2034D5AC" w14:textId="77777777" w:rsidR="009B4310" w:rsidRDefault="009B4310" w:rsidP="00973BEF">
      <w:pPr>
        <w:pStyle w:val="SubHeader-RED"/>
        <w:rPr>
          <w:rFonts w:ascii="Arial" w:eastAsia="Times New Roman" w:hAnsi="Arial" w:cs="Arial"/>
          <w:color w:val="auto"/>
          <w:sz w:val="24"/>
          <w:szCs w:val="24"/>
          <w:lang w:eastAsia="en-AU"/>
        </w:rPr>
      </w:pPr>
    </w:p>
    <w:p w14:paraId="63CF81AF" w14:textId="77777777" w:rsidR="009B4310" w:rsidRDefault="009B4310" w:rsidP="00973BEF">
      <w:pPr>
        <w:pStyle w:val="SubHeader-RED"/>
        <w:rPr>
          <w:rFonts w:ascii="Arial" w:eastAsia="Times New Roman" w:hAnsi="Arial" w:cs="Arial"/>
          <w:color w:val="auto"/>
          <w:sz w:val="24"/>
          <w:szCs w:val="24"/>
          <w:lang w:eastAsia="en-AU"/>
        </w:rPr>
      </w:pPr>
    </w:p>
    <w:p w14:paraId="030BF5A3" w14:textId="25F5DA96" w:rsidR="00946C1D" w:rsidRDefault="00946C1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Centuria LifeGoals versus superannuation investment</w:t>
      </w:r>
    </w:p>
    <w:p w14:paraId="47EAA034" w14:textId="77777777" w:rsidR="00973BEF" w:rsidRPr="00973BEF" w:rsidRDefault="00973BEF" w:rsidP="00973BEF">
      <w:pPr>
        <w:pStyle w:val="SubHeader-RED"/>
        <w:rPr>
          <w:rFonts w:ascii="Arial" w:eastAsia="Times New Roman" w:hAnsi="Arial" w:cs="Arial"/>
          <w:color w:val="auto"/>
          <w:sz w:val="24"/>
          <w:szCs w:val="24"/>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4"/>
        <w:gridCol w:w="3514"/>
      </w:tblGrid>
      <w:tr w:rsidR="001D7D32" w:rsidRPr="00973BEF" w14:paraId="2D0693FE" w14:textId="77777777" w:rsidTr="00757DE9">
        <w:trPr>
          <w:trHeight w:val="102"/>
        </w:trPr>
        <w:tc>
          <w:tcPr>
            <w:tcW w:w="1915" w:type="dxa"/>
            <w:tcBorders>
              <w:top w:val="nil"/>
              <w:left w:val="nil"/>
              <w:bottom w:val="single" w:sz="4" w:space="0" w:color="auto"/>
              <w:right w:val="single" w:sz="4" w:space="0" w:color="auto"/>
            </w:tcBorders>
          </w:tcPr>
          <w:p w14:paraId="14F2537F" w14:textId="77777777" w:rsidR="001D7D32" w:rsidRPr="00973BEF" w:rsidRDefault="001D7D32" w:rsidP="00973BEF">
            <w:pPr>
              <w:autoSpaceDE w:val="0"/>
              <w:autoSpaceDN w:val="0"/>
              <w:adjustRightInd w:val="0"/>
              <w:spacing w:after="100" w:line="161" w:lineRule="atLeast"/>
              <w:rPr>
                <w:rFonts w:ascii="Arial" w:hAnsi="Arial" w:cs="Arial"/>
                <w:b/>
                <w:bCs/>
                <w:color w:val="000000"/>
                <w:sz w:val="20"/>
                <w:szCs w:val="20"/>
                <w:lang w:val="en-AU"/>
              </w:rPr>
            </w:pPr>
          </w:p>
        </w:tc>
        <w:tc>
          <w:tcPr>
            <w:tcW w:w="2974" w:type="dxa"/>
            <w:tcBorders>
              <w:left w:val="single" w:sz="4" w:space="0" w:color="auto"/>
            </w:tcBorders>
          </w:tcPr>
          <w:p w14:paraId="2F79EA42" w14:textId="115D79F4" w:rsidR="001D7D32" w:rsidRPr="00973BEF" w:rsidRDefault="001D7D32"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b/>
                <w:bCs/>
                <w:color w:val="000000"/>
                <w:sz w:val="20"/>
                <w:szCs w:val="20"/>
                <w:lang w:val="en-AU"/>
              </w:rPr>
              <w:t>Superannuation</w:t>
            </w:r>
          </w:p>
        </w:tc>
        <w:tc>
          <w:tcPr>
            <w:tcW w:w="3514" w:type="dxa"/>
          </w:tcPr>
          <w:p w14:paraId="731CA583" w14:textId="7D64CACF" w:rsidR="001D7D32" w:rsidRPr="00973BEF" w:rsidRDefault="001D7D32"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b/>
                <w:bCs/>
                <w:color w:val="000000"/>
                <w:sz w:val="20"/>
                <w:szCs w:val="20"/>
                <w:lang w:val="en-AU"/>
              </w:rPr>
              <w:t>Centuria LifeGoals</w:t>
            </w:r>
          </w:p>
        </w:tc>
      </w:tr>
      <w:tr w:rsidR="00946C1D" w:rsidRPr="00973BEF" w14:paraId="2EA2A9A5" w14:textId="77777777" w:rsidTr="00757DE9">
        <w:trPr>
          <w:trHeight w:val="102"/>
        </w:trPr>
        <w:tc>
          <w:tcPr>
            <w:tcW w:w="1915" w:type="dxa"/>
            <w:tcBorders>
              <w:top w:val="single" w:sz="4" w:space="0" w:color="auto"/>
            </w:tcBorders>
          </w:tcPr>
          <w:p w14:paraId="5583300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Tax paid</w:t>
            </w:r>
          </w:p>
        </w:tc>
        <w:tc>
          <w:tcPr>
            <w:tcW w:w="2974" w:type="dxa"/>
          </w:tcPr>
          <w:p w14:paraId="24D632D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15% maximum</w:t>
            </w:r>
          </w:p>
        </w:tc>
        <w:tc>
          <w:tcPr>
            <w:tcW w:w="3514" w:type="dxa"/>
          </w:tcPr>
          <w:p w14:paraId="486A3C9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30% maximum</w:t>
            </w:r>
          </w:p>
        </w:tc>
      </w:tr>
      <w:tr w:rsidR="00946C1D" w:rsidRPr="00973BEF" w14:paraId="7F6F4E9A" w14:textId="77777777" w:rsidTr="00757DE9">
        <w:trPr>
          <w:trHeight w:val="206"/>
        </w:trPr>
        <w:tc>
          <w:tcPr>
            <w:tcW w:w="1915" w:type="dxa"/>
          </w:tcPr>
          <w:p w14:paraId="3152FB67"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Access to funds</w:t>
            </w:r>
          </w:p>
        </w:tc>
        <w:tc>
          <w:tcPr>
            <w:tcW w:w="2974" w:type="dxa"/>
          </w:tcPr>
          <w:p w14:paraId="57837DCD"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65 years of age or preservation age</w:t>
            </w:r>
          </w:p>
        </w:tc>
        <w:tc>
          <w:tcPr>
            <w:tcW w:w="3514" w:type="dxa"/>
          </w:tcPr>
          <w:p w14:paraId="6A7E041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Any time (although there may be tax consequences for withdrawing before 10 years)</w:t>
            </w:r>
          </w:p>
        </w:tc>
      </w:tr>
      <w:tr w:rsidR="00946C1D" w:rsidRPr="00973BEF" w14:paraId="0C38A5C7" w14:textId="77777777" w:rsidTr="00757DE9">
        <w:trPr>
          <w:trHeight w:val="207"/>
        </w:trPr>
        <w:tc>
          <w:tcPr>
            <w:tcW w:w="1915" w:type="dxa"/>
          </w:tcPr>
          <w:p w14:paraId="6C2753E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Contribution cap (per annum)</w:t>
            </w:r>
          </w:p>
        </w:tc>
        <w:tc>
          <w:tcPr>
            <w:tcW w:w="2974" w:type="dxa"/>
          </w:tcPr>
          <w:p w14:paraId="4B9E0049" w14:textId="6BA740F6" w:rsidR="001D7D32"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$25,000 concessional</w:t>
            </w:r>
          </w:p>
          <w:p w14:paraId="3BCA4C09" w14:textId="2291137C"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$100,000 non-concessional</w:t>
            </w:r>
            <w:r w:rsidR="009B4310">
              <w:rPr>
                <w:rStyle w:val="FootnoteReference"/>
                <w:rFonts w:ascii="Arial" w:hAnsi="Arial" w:cs="Arial"/>
                <w:color w:val="000000"/>
                <w:sz w:val="20"/>
                <w:szCs w:val="20"/>
                <w:lang w:val="en-AU"/>
              </w:rPr>
              <w:footnoteReference w:id="5"/>
            </w:r>
          </w:p>
        </w:tc>
        <w:tc>
          <w:tcPr>
            <w:tcW w:w="3514" w:type="dxa"/>
          </w:tcPr>
          <w:p w14:paraId="5AD3D8FF"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Unlimited in year 1 and maximum 125% of previous year’s contributions thereafter</w:t>
            </w:r>
          </w:p>
        </w:tc>
      </w:tr>
      <w:tr w:rsidR="00946C1D" w:rsidRPr="00973BEF" w14:paraId="354DC194" w14:textId="77777777" w:rsidTr="00757DE9">
        <w:trPr>
          <w:trHeight w:val="206"/>
        </w:trPr>
        <w:tc>
          <w:tcPr>
            <w:tcW w:w="1915" w:type="dxa"/>
          </w:tcPr>
          <w:p w14:paraId="743C6F6C"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Contributions tax</w:t>
            </w:r>
          </w:p>
        </w:tc>
        <w:tc>
          <w:tcPr>
            <w:tcW w:w="2974" w:type="dxa"/>
          </w:tcPr>
          <w:p w14:paraId="4D8B81E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15% concessional rate (can be 30% for those on higher income)</w:t>
            </w:r>
          </w:p>
        </w:tc>
        <w:tc>
          <w:tcPr>
            <w:tcW w:w="3514" w:type="dxa"/>
          </w:tcPr>
          <w:p w14:paraId="7C03B54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Nil</w:t>
            </w:r>
          </w:p>
        </w:tc>
      </w:tr>
      <w:tr w:rsidR="00946C1D" w:rsidRPr="00973BEF" w14:paraId="45A53B83" w14:textId="77777777" w:rsidTr="00757DE9">
        <w:trPr>
          <w:trHeight w:val="102"/>
        </w:trPr>
        <w:tc>
          <w:tcPr>
            <w:tcW w:w="1915" w:type="dxa"/>
          </w:tcPr>
          <w:p w14:paraId="0308168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Balance cap</w:t>
            </w:r>
          </w:p>
        </w:tc>
        <w:tc>
          <w:tcPr>
            <w:tcW w:w="2974" w:type="dxa"/>
          </w:tcPr>
          <w:p w14:paraId="6854B84B" w14:textId="357F041B"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$1.6 million in pension phase</w:t>
            </w:r>
            <w:r w:rsidR="00F34C7C">
              <w:rPr>
                <w:rStyle w:val="FootnoteReference"/>
                <w:rFonts w:ascii="Arial" w:hAnsi="Arial" w:cs="Arial"/>
                <w:color w:val="000000"/>
                <w:sz w:val="20"/>
                <w:szCs w:val="20"/>
                <w:lang w:val="en-AU"/>
              </w:rPr>
              <w:footnoteReference w:customMarkFollows="1" w:id="6"/>
              <w:t>5</w:t>
            </w:r>
          </w:p>
        </w:tc>
        <w:tc>
          <w:tcPr>
            <w:tcW w:w="3514" w:type="dxa"/>
          </w:tcPr>
          <w:p w14:paraId="152EF622"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Unlimited</w:t>
            </w:r>
          </w:p>
        </w:tc>
      </w:tr>
      <w:tr w:rsidR="00946C1D" w:rsidRPr="00973BEF" w14:paraId="10C92BCF" w14:textId="77777777" w:rsidTr="00757DE9">
        <w:trPr>
          <w:trHeight w:val="102"/>
        </w:trPr>
        <w:tc>
          <w:tcPr>
            <w:tcW w:w="1915" w:type="dxa"/>
          </w:tcPr>
          <w:p w14:paraId="6EE8DD2A"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Investment choice</w:t>
            </w:r>
          </w:p>
        </w:tc>
        <w:tc>
          <w:tcPr>
            <w:tcW w:w="2974" w:type="dxa"/>
          </w:tcPr>
          <w:p w14:paraId="76798685"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2F2A9CAC"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r>
      <w:tr w:rsidR="00946C1D" w:rsidRPr="00973BEF" w14:paraId="1193E552" w14:textId="77777777" w:rsidTr="00757DE9">
        <w:trPr>
          <w:trHeight w:val="207"/>
        </w:trPr>
        <w:tc>
          <w:tcPr>
            <w:tcW w:w="1915" w:type="dxa"/>
          </w:tcPr>
          <w:p w14:paraId="10A255F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Tax return required for Investor</w:t>
            </w:r>
          </w:p>
        </w:tc>
        <w:tc>
          <w:tcPr>
            <w:tcW w:w="2974" w:type="dxa"/>
          </w:tcPr>
          <w:p w14:paraId="3EC83C7F"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22C5993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 (unless a taxable withdrawal is made within 10 years)</w:t>
            </w:r>
          </w:p>
        </w:tc>
      </w:tr>
      <w:tr w:rsidR="00946C1D" w:rsidRPr="00973BEF" w14:paraId="1D6A1850" w14:textId="77777777" w:rsidTr="00757DE9">
        <w:trPr>
          <w:trHeight w:val="102"/>
        </w:trPr>
        <w:tc>
          <w:tcPr>
            <w:tcW w:w="1915" w:type="dxa"/>
          </w:tcPr>
          <w:p w14:paraId="71D12472"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Transfer ownership</w:t>
            </w:r>
          </w:p>
        </w:tc>
        <w:tc>
          <w:tcPr>
            <w:tcW w:w="2974" w:type="dxa"/>
          </w:tcPr>
          <w:p w14:paraId="7F702950"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w:t>
            </w:r>
          </w:p>
        </w:tc>
        <w:tc>
          <w:tcPr>
            <w:tcW w:w="3514" w:type="dxa"/>
          </w:tcPr>
          <w:p w14:paraId="0CEDE4AA"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r>
      <w:tr w:rsidR="00946C1D" w:rsidRPr="00973BEF" w14:paraId="29619256" w14:textId="77777777" w:rsidTr="00757DE9">
        <w:trPr>
          <w:trHeight w:val="102"/>
        </w:trPr>
        <w:tc>
          <w:tcPr>
            <w:tcW w:w="1915" w:type="dxa"/>
          </w:tcPr>
          <w:p w14:paraId="0A3384A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Estate planning</w:t>
            </w:r>
          </w:p>
        </w:tc>
        <w:tc>
          <w:tcPr>
            <w:tcW w:w="2974" w:type="dxa"/>
          </w:tcPr>
          <w:p w14:paraId="7574374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Limited dependant beneficiaries</w:t>
            </w:r>
          </w:p>
        </w:tc>
        <w:tc>
          <w:tcPr>
            <w:tcW w:w="3514" w:type="dxa"/>
          </w:tcPr>
          <w:p w14:paraId="067AA03A"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Simple with unlimited Nominated Beneficiaries</w:t>
            </w:r>
          </w:p>
        </w:tc>
      </w:tr>
      <w:tr w:rsidR="00946C1D" w:rsidRPr="00973BEF" w14:paraId="6060A4E3" w14:textId="77777777" w:rsidTr="00757DE9">
        <w:trPr>
          <w:trHeight w:val="102"/>
        </w:trPr>
        <w:tc>
          <w:tcPr>
            <w:tcW w:w="1915" w:type="dxa"/>
          </w:tcPr>
          <w:p w14:paraId="1F37A8BD"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Forms part of estate</w:t>
            </w:r>
          </w:p>
        </w:tc>
        <w:tc>
          <w:tcPr>
            <w:tcW w:w="2974" w:type="dxa"/>
          </w:tcPr>
          <w:p w14:paraId="355116A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02DFD7A6"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 if you have Nominated Beneficiaries</w:t>
            </w:r>
          </w:p>
        </w:tc>
      </w:tr>
      <w:tr w:rsidR="00946C1D" w:rsidRPr="00973BEF" w14:paraId="061767B6" w14:textId="77777777" w:rsidTr="00757DE9">
        <w:trPr>
          <w:trHeight w:val="102"/>
        </w:trPr>
        <w:tc>
          <w:tcPr>
            <w:tcW w:w="1915" w:type="dxa"/>
          </w:tcPr>
          <w:p w14:paraId="76A2916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Death tax</w:t>
            </w:r>
          </w:p>
        </w:tc>
        <w:tc>
          <w:tcPr>
            <w:tcW w:w="2974" w:type="dxa"/>
          </w:tcPr>
          <w:p w14:paraId="55B0ED57" w14:textId="6DF90436"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 (for non-</w:t>
            </w:r>
            <w:r w:rsidR="000D0928" w:rsidRPr="00973BEF">
              <w:rPr>
                <w:rFonts w:ascii="Arial" w:hAnsi="Arial" w:cs="Arial"/>
                <w:color w:val="000000"/>
                <w:sz w:val="20"/>
                <w:szCs w:val="20"/>
                <w:lang w:val="en-AU"/>
              </w:rPr>
              <w:t>dependants)</w:t>
            </w:r>
            <w:r w:rsidR="009B4310">
              <w:rPr>
                <w:rStyle w:val="FootnoteReference"/>
                <w:rFonts w:ascii="Arial" w:hAnsi="Arial" w:cs="Arial"/>
                <w:color w:val="000000"/>
                <w:sz w:val="20"/>
                <w:szCs w:val="20"/>
                <w:lang w:val="en-AU"/>
              </w:rPr>
              <w:footnoteReference w:id="7"/>
            </w:r>
          </w:p>
        </w:tc>
        <w:tc>
          <w:tcPr>
            <w:tcW w:w="3514" w:type="dxa"/>
          </w:tcPr>
          <w:p w14:paraId="7F8E030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w:t>
            </w:r>
          </w:p>
        </w:tc>
      </w:tr>
    </w:tbl>
    <w:p w14:paraId="003ED7CC" w14:textId="77777777" w:rsidR="001D7D32" w:rsidRPr="00973BEF" w:rsidRDefault="001D7D32" w:rsidP="00973BEF">
      <w:pPr>
        <w:pStyle w:val="SubHeader-RED"/>
        <w:rPr>
          <w:rFonts w:ascii="Arial" w:hAnsi="Arial" w:cs="Arial"/>
          <w:b w:val="0"/>
          <w:bCs w:val="0"/>
          <w:color w:val="000000"/>
          <w:sz w:val="16"/>
          <w:szCs w:val="16"/>
        </w:rPr>
      </w:pPr>
    </w:p>
    <w:p w14:paraId="6ECF709F" w14:textId="7095E19D" w:rsidR="00C06437" w:rsidRPr="00973BEF" w:rsidRDefault="00C06437" w:rsidP="00973BEF">
      <w:pPr>
        <w:rPr>
          <w:rFonts w:ascii="Arial" w:eastAsia="Times New Roman" w:hAnsi="Arial" w:cs="Arial"/>
          <w:lang w:eastAsia="en-AU"/>
        </w:rPr>
      </w:pPr>
    </w:p>
    <w:p w14:paraId="40FD24EB" w14:textId="4A7E1FF7" w:rsidR="000D0928" w:rsidRPr="00973BEF" w:rsidRDefault="000D0928" w:rsidP="00973BEF">
      <w:pPr>
        <w:rPr>
          <w:rFonts w:ascii="Arial" w:eastAsia="Times New Roman" w:hAnsi="Arial" w:cs="Arial"/>
          <w:lang w:eastAsia="en-AU"/>
        </w:rPr>
      </w:pPr>
    </w:p>
    <w:p w14:paraId="639D2357" w14:textId="340E85F5" w:rsidR="000D0928" w:rsidRPr="00973BEF" w:rsidRDefault="000D0928" w:rsidP="00973BEF">
      <w:pPr>
        <w:rPr>
          <w:rFonts w:ascii="Arial" w:eastAsia="Times New Roman" w:hAnsi="Arial" w:cs="Arial"/>
          <w:lang w:eastAsia="en-AU"/>
        </w:rPr>
      </w:pPr>
    </w:p>
    <w:p w14:paraId="2C35C48C" w14:textId="0724E58A" w:rsidR="000D0928" w:rsidRPr="00973BEF" w:rsidRDefault="000D0928" w:rsidP="00973BEF">
      <w:pPr>
        <w:rPr>
          <w:rFonts w:ascii="Arial" w:eastAsia="Times New Roman" w:hAnsi="Arial" w:cs="Arial"/>
          <w:lang w:eastAsia="en-AU"/>
        </w:rPr>
      </w:pPr>
    </w:p>
    <w:p w14:paraId="2D86A6C4" w14:textId="7A1C3F30" w:rsidR="000D0928" w:rsidRPr="00973BEF" w:rsidRDefault="000D0928" w:rsidP="00973BEF">
      <w:pPr>
        <w:rPr>
          <w:rFonts w:ascii="Arial" w:eastAsia="Times New Roman" w:hAnsi="Arial" w:cs="Arial"/>
          <w:lang w:eastAsia="en-AU"/>
        </w:rPr>
      </w:pPr>
    </w:p>
    <w:p w14:paraId="28B11252" w14:textId="46B10C84" w:rsidR="000D0928" w:rsidRPr="00973BEF" w:rsidRDefault="000D0928" w:rsidP="00973BEF">
      <w:pPr>
        <w:rPr>
          <w:rFonts w:ascii="Arial" w:eastAsia="Times New Roman" w:hAnsi="Arial" w:cs="Arial"/>
          <w:lang w:eastAsia="en-AU"/>
        </w:rPr>
      </w:pPr>
    </w:p>
    <w:p w14:paraId="113A1027" w14:textId="54EF8A64" w:rsidR="000D0928" w:rsidRPr="00973BEF" w:rsidRDefault="000D0928" w:rsidP="00973BEF">
      <w:pPr>
        <w:rPr>
          <w:rFonts w:ascii="Arial" w:eastAsia="Times New Roman" w:hAnsi="Arial" w:cs="Arial"/>
          <w:lang w:eastAsia="en-AU"/>
        </w:rPr>
      </w:pPr>
    </w:p>
    <w:p w14:paraId="049D0B94" w14:textId="74C5D0F4" w:rsidR="000D0928" w:rsidRPr="00973BEF" w:rsidRDefault="000D0928" w:rsidP="00973BEF">
      <w:pPr>
        <w:rPr>
          <w:rFonts w:ascii="Arial" w:eastAsia="Times New Roman" w:hAnsi="Arial" w:cs="Arial"/>
          <w:lang w:eastAsia="en-AU"/>
        </w:rPr>
      </w:pPr>
    </w:p>
    <w:p w14:paraId="63EE1B5F" w14:textId="714E94CC" w:rsidR="000D0928" w:rsidRPr="00973BEF" w:rsidRDefault="000D0928" w:rsidP="00973BEF">
      <w:pPr>
        <w:rPr>
          <w:rFonts w:ascii="Arial" w:eastAsia="Times New Roman" w:hAnsi="Arial" w:cs="Arial"/>
          <w:lang w:eastAsia="en-AU"/>
        </w:rPr>
      </w:pPr>
    </w:p>
    <w:p w14:paraId="6EAF3D82" w14:textId="1B4F97EC" w:rsidR="000D0928" w:rsidRPr="00973BEF" w:rsidRDefault="000D0928" w:rsidP="00973BEF">
      <w:pPr>
        <w:rPr>
          <w:rFonts w:ascii="Arial" w:eastAsia="Times New Roman" w:hAnsi="Arial" w:cs="Arial"/>
          <w:lang w:eastAsia="en-AU"/>
        </w:rPr>
      </w:pPr>
    </w:p>
    <w:p w14:paraId="5783E8C3" w14:textId="3D169F67" w:rsidR="000D0928" w:rsidRPr="00973BEF" w:rsidRDefault="000D0928" w:rsidP="00973BEF">
      <w:pPr>
        <w:rPr>
          <w:rFonts w:ascii="Arial" w:eastAsia="Times New Roman" w:hAnsi="Arial" w:cs="Arial"/>
          <w:lang w:eastAsia="en-AU"/>
        </w:rPr>
      </w:pPr>
    </w:p>
    <w:p w14:paraId="27EE0DC2" w14:textId="0BC34D06" w:rsidR="000D0928" w:rsidRPr="00973BEF" w:rsidRDefault="000D0928" w:rsidP="00973BEF">
      <w:pPr>
        <w:rPr>
          <w:rFonts w:ascii="Arial" w:eastAsia="Times New Roman" w:hAnsi="Arial" w:cs="Arial"/>
          <w:lang w:eastAsia="en-AU"/>
        </w:rPr>
      </w:pPr>
    </w:p>
    <w:p w14:paraId="4D0EC583" w14:textId="075A280E" w:rsidR="00282F90" w:rsidRDefault="00282F90">
      <w:pPr>
        <w:rPr>
          <w:rFonts w:ascii="Arial" w:eastAsia="Times New Roman" w:hAnsi="Arial" w:cs="Arial"/>
          <w:lang w:eastAsia="en-AU"/>
        </w:rPr>
      </w:pPr>
      <w:r>
        <w:rPr>
          <w:rFonts w:ascii="Arial" w:eastAsia="Times New Roman" w:hAnsi="Arial" w:cs="Arial"/>
          <w:lang w:eastAsia="en-AU"/>
        </w:rPr>
        <w:br w:type="page"/>
      </w:r>
    </w:p>
    <w:p w14:paraId="0E45BFC6" w14:textId="6E0FE04F" w:rsidR="007D0ED7" w:rsidRPr="00973BEF" w:rsidRDefault="007D0ED7" w:rsidP="00973BEF">
      <w:pPr>
        <w:pStyle w:val="Heading2"/>
        <w:numPr>
          <w:ilvl w:val="0"/>
          <w:numId w:val="5"/>
        </w:numPr>
        <w:ind w:left="0" w:firstLine="0"/>
        <w:rPr>
          <w:rFonts w:ascii="Arial" w:hAnsi="Arial" w:cs="Arial"/>
          <w:b/>
          <w:sz w:val="26"/>
          <w:szCs w:val="24"/>
        </w:rPr>
      </w:pPr>
      <w:bookmarkStart w:id="10" w:name="_Toc52180450"/>
      <w:r w:rsidRPr="00973BEF">
        <w:rPr>
          <w:rFonts w:ascii="Arial" w:hAnsi="Arial" w:cs="Arial"/>
          <w:b/>
        </w:rPr>
        <w:lastRenderedPageBreak/>
        <w:t>Recommendations and Benefits</w:t>
      </w:r>
      <w:r w:rsidR="0079190A" w:rsidRPr="00973BEF">
        <w:rPr>
          <w:rFonts w:ascii="Arial" w:hAnsi="Arial" w:cs="Arial"/>
          <w:b/>
        </w:rPr>
        <w:t xml:space="preserve"> </w:t>
      </w:r>
      <w:r w:rsidR="0079190A" w:rsidRPr="00973BEF">
        <w:rPr>
          <w:rFonts w:ascii="Arial" w:hAnsi="Arial" w:cs="Arial"/>
          <w:b/>
          <w:sz w:val="26"/>
          <w:szCs w:val="24"/>
        </w:rPr>
        <w:t>(including Disadvantages)</w:t>
      </w:r>
      <w:bookmarkEnd w:id="10"/>
    </w:p>
    <w:p w14:paraId="2A992B09" w14:textId="5114C8BE" w:rsidR="0079190A" w:rsidRPr="00973BEF" w:rsidRDefault="0079190A" w:rsidP="00973BEF">
      <w:pPr>
        <w:autoSpaceDE w:val="0"/>
        <w:autoSpaceDN w:val="0"/>
        <w:rPr>
          <w:rFonts w:ascii="Arial" w:eastAsia="Calibri" w:hAnsi="Arial" w:cs="Arial"/>
          <w:color w:val="000000"/>
          <w:u w:val="single"/>
          <w:lang w:eastAsia="en-AU"/>
        </w:rPr>
      </w:pPr>
    </w:p>
    <w:p w14:paraId="79384C3E" w14:textId="1BDFD996"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Your investment is tax-paid at a maximum of </w:t>
      </w:r>
      <w:proofErr w:type="gramStart"/>
      <w:r w:rsidRPr="00973BEF">
        <w:rPr>
          <w:rFonts w:ascii="Arial" w:eastAsia="Calibri" w:hAnsi="Arial" w:cs="Arial"/>
          <w:sz w:val="22"/>
          <w:szCs w:val="22"/>
          <w:lang w:eastAsia="en-AU"/>
        </w:rPr>
        <w:t>30%</w:t>
      </w:r>
      <w:r w:rsidR="001D7D32" w:rsidRPr="00973BEF">
        <w:rPr>
          <w:rFonts w:ascii="Arial" w:eastAsia="Calibri" w:hAnsi="Arial" w:cs="Arial"/>
          <w:sz w:val="22"/>
          <w:szCs w:val="22"/>
          <w:lang w:eastAsia="en-AU"/>
        </w:rPr>
        <w:t>;</w:t>
      </w:r>
      <w:proofErr w:type="gramEnd"/>
    </w:p>
    <w:p w14:paraId="2EB16AAE" w14:textId="3E07E579" w:rsidR="00946C1D" w:rsidRPr="00973BEF" w:rsidRDefault="00946C1D"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If you withdraw before the 10-year </w:t>
      </w:r>
      <w:r w:rsidR="00336F84" w:rsidRPr="00973BEF">
        <w:rPr>
          <w:rFonts w:ascii="Arial" w:eastAsia="Calibri" w:hAnsi="Arial" w:cs="Arial"/>
          <w:sz w:val="22"/>
          <w:szCs w:val="22"/>
          <w:lang w:eastAsia="en-AU"/>
        </w:rPr>
        <w:t>period,</w:t>
      </w:r>
      <w:r w:rsidRPr="00973BEF">
        <w:rPr>
          <w:rFonts w:ascii="Arial" w:eastAsia="Calibri" w:hAnsi="Arial" w:cs="Arial"/>
          <w:sz w:val="22"/>
          <w:szCs w:val="22"/>
          <w:lang w:eastAsia="en-AU"/>
        </w:rPr>
        <w:t xml:space="preserve"> you receive a 30% tax offset for the tax the fund has </w:t>
      </w:r>
      <w:proofErr w:type="gramStart"/>
      <w:r w:rsidRPr="00973BEF">
        <w:rPr>
          <w:rFonts w:ascii="Arial" w:eastAsia="Calibri" w:hAnsi="Arial" w:cs="Arial"/>
          <w:sz w:val="22"/>
          <w:szCs w:val="22"/>
          <w:lang w:eastAsia="en-AU"/>
        </w:rPr>
        <w:t>paid</w:t>
      </w:r>
      <w:r w:rsidR="001D7D32" w:rsidRPr="00973BEF">
        <w:rPr>
          <w:rFonts w:ascii="Arial" w:eastAsia="Calibri" w:hAnsi="Arial" w:cs="Arial"/>
          <w:sz w:val="22"/>
          <w:szCs w:val="22"/>
          <w:lang w:eastAsia="en-AU"/>
        </w:rPr>
        <w:t>;</w:t>
      </w:r>
      <w:proofErr w:type="gramEnd"/>
    </w:p>
    <w:p w14:paraId="7FD1CE98" w14:textId="4FFB17D1"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There is no need to include </w:t>
      </w:r>
      <w:r w:rsidR="00B975BA" w:rsidRPr="00973BEF">
        <w:rPr>
          <w:rFonts w:ascii="Arial" w:eastAsia="Calibri" w:hAnsi="Arial" w:cs="Arial"/>
          <w:sz w:val="22"/>
          <w:szCs w:val="22"/>
          <w:lang w:eastAsia="en-AU"/>
        </w:rPr>
        <w:t xml:space="preserve">earnings </w:t>
      </w:r>
      <w:r w:rsidRPr="00973BEF">
        <w:rPr>
          <w:rFonts w:ascii="Arial" w:eastAsia="Calibri" w:hAnsi="Arial" w:cs="Arial"/>
          <w:sz w:val="22"/>
          <w:szCs w:val="22"/>
          <w:lang w:eastAsia="en-AU"/>
        </w:rPr>
        <w:t xml:space="preserve">in your personal tax </w:t>
      </w:r>
      <w:proofErr w:type="gramStart"/>
      <w:r w:rsidRPr="00973BEF">
        <w:rPr>
          <w:rFonts w:ascii="Arial" w:eastAsia="Calibri" w:hAnsi="Arial" w:cs="Arial"/>
          <w:sz w:val="22"/>
          <w:szCs w:val="22"/>
          <w:lang w:eastAsia="en-AU"/>
        </w:rPr>
        <w:t>return</w:t>
      </w:r>
      <w:r w:rsidR="001D7D32" w:rsidRPr="00973BEF">
        <w:rPr>
          <w:rFonts w:ascii="Arial" w:eastAsia="Calibri" w:hAnsi="Arial" w:cs="Arial"/>
          <w:sz w:val="22"/>
          <w:szCs w:val="22"/>
          <w:lang w:eastAsia="en-AU"/>
        </w:rPr>
        <w:t>;</w:t>
      </w:r>
      <w:proofErr w:type="gramEnd"/>
    </w:p>
    <w:p w14:paraId="2EEFA8F6" w14:textId="6ECD83FD"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If you hold the </w:t>
      </w:r>
      <w:r w:rsidR="00B975BA" w:rsidRPr="00973BEF">
        <w:rPr>
          <w:rFonts w:ascii="Arial" w:eastAsia="Calibri" w:hAnsi="Arial" w:cs="Arial"/>
          <w:sz w:val="22"/>
          <w:szCs w:val="22"/>
          <w:lang w:eastAsia="en-AU"/>
        </w:rPr>
        <w:t>fund</w:t>
      </w:r>
      <w:r w:rsidRPr="00973BEF">
        <w:rPr>
          <w:rFonts w:ascii="Arial" w:eastAsia="Calibri" w:hAnsi="Arial" w:cs="Arial"/>
          <w:sz w:val="22"/>
          <w:szCs w:val="22"/>
          <w:lang w:eastAsia="en-AU"/>
        </w:rPr>
        <w:t xml:space="preserve"> for 10 years or more and comply with the 125% rule, you will receive all proceeds tax-</w:t>
      </w:r>
      <w:proofErr w:type="gramStart"/>
      <w:r w:rsidR="00B975BA" w:rsidRPr="00973BEF">
        <w:rPr>
          <w:rFonts w:ascii="Arial" w:eastAsia="Calibri" w:hAnsi="Arial" w:cs="Arial"/>
          <w:sz w:val="22"/>
          <w:szCs w:val="22"/>
          <w:lang w:eastAsia="en-AU"/>
        </w:rPr>
        <w:t>paid</w:t>
      </w:r>
      <w:r w:rsidR="001D7D32" w:rsidRPr="00973BEF">
        <w:rPr>
          <w:rFonts w:ascii="Arial" w:eastAsia="Calibri" w:hAnsi="Arial" w:cs="Arial"/>
          <w:sz w:val="22"/>
          <w:szCs w:val="22"/>
          <w:lang w:eastAsia="en-AU"/>
        </w:rPr>
        <w:t>;</w:t>
      </w:r>
      <w:proofErr w:type="gramEnd"/>
      <w:r w:rsidRPr="00973BEF">
        <w:rPr>
          <w:rFonts w:ascii="Arial" w:eastAsia="Calibri" w:hAnsi="Arial" w:cs="Arial"/>
          <w:sz w:val="22"/>
          <w:szCs w:val="22"/>
          <w:lang w:eastAsia="en-AU"/>
        </w:rPr>
        <w:t xml:space="preserve"> </w:t>
      </w:r>
    </w:p>
    <w:p w14:paraId="3B31B611" w14:textId="5D4D83A9" w:rsidR="007D0ED7" w:rsidRPr="00973BEF" w:rsidRDefault="00B975BA"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Centuria LifeGoals</w:t>
      </w:r>
      <w:r w:rsidR="007D0ED7" w:rsidRPr="00973BEF">
        <w:rPr>
          <w:rFonts w:ascii="Arial" w:eastAsia="Calibri" w:hAnsi="Arial" w:cs="Arial"/>
          <w:sz w:val="22"/>
          <w:szCs w:val="22"/>
          <w:lang w:eastAsia="en-AU"/>
        </w:rPr>
        <w:t xml:space="preserve"> can be used to leave money directly to a specified beneficiary</w:t>
      </w:r>
      <w:r w:rsidRPr="00973BEF">
        <w:rPr>
          <w:rFonts w:ascii="Arial" w:eastAsia="Calibri" w:hAnsi="Arial" w:cs="Arial"/>
          <w:sz w:val="22"/>
          <w:szCs w:val="22"/>
          <w:lang w:eastAsia="en-AU"/>
        </w:rPr>
        <w:t>/ies</w:t>
      </w:r>
      <w:r w:rsidR="007D0ED7" w:rsidRPr="00973BEF">
        <w:rPr>
          <w:rFonts w:ascii="Arial" w:eastAsia="Calibri" w:hAnsi="Arial" w:cs="Arial"/>
          <w:sz w:val="22"/>
          <w:szCs w:val="22"/>
          <w:lang w:eastAsia="en-AU"/>
        </w:rPr>
        <w:t xml:space="preserve"> without that money passing through your </w:t>
      </w:r>
      <w:proofErr w:type="gramStart"/>
      <w:r w:rsidR="007D0ED7" w:rsidRPr="00973BEF">
        <w:rPr>
          <w:rFonts w:ascii="Arial" w:eastAsia="Calibri" w:hAnsi="Arial" w:cs="Arial"/>
          <w:sz w:val="22"/>
          <w:szCs w:val="22"/>
          <w:lang w:eastAsia="en-AU"/>
        </w:rPr>
        <w:t>estate</w:t>
      </w:r>
      <w:r w:rsidR="001D7D32" w:rsidRPr="00973BEF">
        <w:rPr>
          <w:rFonts w:ascii="Arial" w:eastAsia="Calibri" w:hAnsi="Arial" w:cs="Arial"/>
          <w:sz w:val="22"/>
          <w:szCs w:val="22"/>
          <w:lang w:eastAsia="en-AU"/>
        </w:rPr>
        <w:t>;</w:t>
      </w:r>
      <w:proofErr w:type="gramEnd"/>
      <w:r w:rsidR="007D0ED7" w:rsidRPr="00973BEF">
        <w:rPr>
          <w:rFonts w:ascii="Arial" w:eastAsia="Calibri" w:hAnsi="Arial" w:cs="Arial"/>
          <w:sz w:val="22"/>
          <w:szCs w:val="22"/>
          <w:lang w:eastAsia="en-AU"/>
        </w:rPr>
        <w:t xml:space="preserve"> </w:t>
      </w:r>
    </w:p>
    <w:p w14:paraId="7D2275B3" w14:textId="01C0C2E4" w:rsidR="007D0ED7" w:rsidRPr="00973BEF" w:rsidRDefault="00B975BA"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O</w:t>
      </w:r>
      <w:r w:rsidR="007D0ED7" w:rsidRPr="00973BEF">
        <w:rPr>
          <w:rFonts w:ascii="Arial" w:eastAsia="Calibri" w:hAnsi="Arial" w:cs="Arial"/>
          <w:sz w:val="22"/>
          <w:szCs w:val="22"/>
          <w:lang w:eastAsia="en-AU"/>
        </w:rPr>
        <w:t>ffer a range of investment options</w:t>
      </w:r>
      <w:r w:rsidRPr="00973BEF">
        <w:rPr>
          <w:rFonts w:ascii="Arial" w:eastAsia="Calibri" w:hAnsi="Arial" w:cs="Arial"/>
          <w:sz w:val="22"/>
          <w:szCs w:val="22"/>
          <w:lang w:eastAsia="en-AU"/>
        </w:rPr>
        <w:t xml:space="preserve"> across different asset classes with both index and active </w:t>
      </w:r>
      <w:proofErr w:type="gramStart"/>
      <w:r w:rsidRPr="00973BEF">
        <w:rPr>
          <w:rFonts w:ascii="Arial" w:eastAsia="Calibri" w:hAnsi="Arial" w:cs="Arial"/>
          <w:sz w:val="22"/>
          <w:szCs w:val="22"/>
          <w:lang w:eastAsia="en-AU"/>
        </w:rPr>
        <w:t>funds</w:t>
      </w:r>
      <w:r w:rsidR="001D7D32" w:rsidRPr="00973BEF">
        <w:rPr>
          <w:rFonts w:ascii="Arial" w:eastAsia="Calibri" w:hAnsi="Arial" w:cs="Arial"/>
          <w:sz w:val="22"/>
          <w:szCs w:val="22"/>
          <w:lang w:eastAsia="en-AU"/>
        </w:rPr>
        <w:t>;</w:t>
      </w:r>
      <w:proofErr w:type="gramEnd"/>
    </w:p>
    <w:p w14:paraId="2E0A57D4" w14:textId="5B0145CC"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No </w:t>
      </w:r>
      <w:r w:rsidR="00B975BA" w:rsidRPr="00973BEF">
        <w:rPr>
          <w:rFonts w:ascii="Arial" w:eastAsia="Calibri" w:hAnsi="Arial" w:cs="Arial"/>
          <w:sz w:val="22"/>
          <w:szCs w:val="22"/>
          <w:lang w:eastAsia="en-AU"/>
        </w:rPr>
        <w:t xml:space="preserve">costs or </w:t>
      </w:r>
      <w:r w:rsidRPr="00973BEF">
        <w:rPr>
          <w:rFonts w:ascii="Arial" w:eastAsia="Calibri" w:hAnsi="Arial" w:cs="Arial"/>
          <w:sz w:val="22"/>
          <w:szCs w:val="22"/>
          <w:lang w:eastAsia="en-AU"/>
        </w:rPr>
        <w:t xml:space="preserve">personal tax </w:t>
      </w:r>
      <w:r w:rsidR="00B975BA" w:rsidRPr="00973BEF">
        <w:rPr>
          <w:rFonts w:ascii="Arial" w:eastAsia="Calibri" w:hAnsi="Arial" w:cs="Arial"/>
          <w:sz w:val="22"/>
          <w:szCs w:val="22"/>
          <w:lang w:eastAsia="en-AU"/>
        </w:rPr>
        <w:t xml:space="preserve">consequences </w:t>
      </w:r>
      <w:r w:rsidRPr="00973BEF">
        <w:rPr>
          <w:rFonts w:ascii="Arial" w:eastAsia="Calibri" w:hAnsi="Arial" w:cs="Arial"/>
          <w:sz w:val="22"/>
          <w:szCs w:val="22"/>
          <w:lang w:eastAsia="en-AU"/>
        </w:rPr>
        <w:t xml:space="preserve">on switching between investment </w:t>
      </w:r>
      <w:proofErr w:type="gramStart"/>
      <w:r w:rsidRPr="00973BEF">
        <w:rPr>
          <w:rFonts w:ascii="Arial" w:eastAsia="Calibri" w:hAnsi="Arial" w:cs="Arial"/>
          <w:sz w:val="22"/>
          <w:szCs w:val="22"/>
          <w:lang w:eastAsia="en-AU"/>
        </w:rPr>
        <w:t>options</w:t>
      </w:r>
      <w:r w:rsidR="001D7D32" w:rsidRPr="00973BEF">
        <w:rPr>
          <w:rFonts w:ascii="Arial" w:eastAsia="Calibri" w:hAnsi="Arial" w:cs="Arial"/>
          <w:sz w:val="22"/>
          <w:szCs w:val="22"/>
          <w:lang w:eastAsia="en-AU"/>
        </w:rPr>
        <w:t>;</w:t>
      </w:r>
      <w:proofErr w:type="gramEnd"/>
    </w:p>
    <w:p w14:paraId="09950800" w14:textId="5ADF79F4" w:rsidR="00946C1D" w:rsidRPr="00973BEF" w:rsidRDefault="00946C1D"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By using the child plan feature you can ensure you beneficiaries receive the funds at an age you specify</w:t>
      </w:r>
      <w:r w:rsidR="001D7D32" w:rsidRPr="00973BEF">
        <w:rPr>
          <w:rFonts w:ascii="Arial" w:eastAsia="Calibri" w:hAnsi="Arial" w:cs="Arial"/>
          <w:sz w:val="22"/>
          <w:szCs w:val="22"/>
          <w:lang w:eastAsia="en-AU"/>
        </w:rPr>
        <w:t>.</w:t>
      </w:r>
    </w:p>
    <w:p w14:paraId="0A997C17" w14:textId="77777777" w:rsidR="00946C1D" w:rsidRPr="00973BEF" w:rsidRDefault="00946C1D" w:rsidP="00973BEF">
      <w:pPr>
        <w:ind w:left="714"/>
        <w:rPr>
          <w:rFonts w:ascii="Arial" w:eastAsia="Calibri" w:hAnsi="Arial" w:cs="Arial"/>
          <w:sz w:val="22"/>
          <w:szCs w:val="22"/>
          <w:lang w:eastAsia="en-AU"/>
        </w:rPr>
      </w:pPr>
    </w:p>
    <w:p w14:paraId="5DD826F9" w14:textId="77777777" w:rsidR="007D0ED7" w:rsidRPr="00973BEF" w:rsidRDefault="007D0ED7" w:rsidP="00973BEF">
      <w:pPr>
        <w:tabs>
          <w:tab w:val="left" w:pos="5810"/>
        </w:tabs>
        <w:autoSpaceDE w:val="0"/>
        <w:autoSpaceDN w:val="0"/>
        <w:rPr>
          <w:rFonts w:ascii="Arial" w:eastAsia="Times New Roman" w:hAnsi="Arial" w:cs="Arial"/>
          <w:b/>
          <w:color w:val="9BBB59"/>
          <w:kern w:val="28"/>
          <w:lang w:eastAsia="en-AU"/>
        </w:rPr>
      </w:pPr>
      <w:r w:rsidRPr="00973BEF">
        <w:rPr>
          <w:rFonts w:ascii="Arial" w:eastAsia="Times New Roman" w:hAnsi="Arial" w:cs="Arial"/>
          <w:b/>
          <w:color w:val="9BBB59"/>
          <w:kern w:val="28"/>
          <w:sz w:val="22"/>
          <w:szCs w:val="22"/>
          <w:lang w:eastAsia="en-AU"/>
        </w:rPr>
        <w:tab/>
      </w:r>
    </w:p>
    <w:p w14:paraId="485BF8D2" w14:textId="77777777" w:rsidR="007D0ED7" w:rsidRPr="00973BEF" w:rsidRDefault="007D0ED7" w:rsidP="00973BEF">
      <w:pPr>
        <w:autoSpaceDE w:val="0"/>
        <w:autoSpaceDN w:val="0"/>
        <w:ind w:firstLine="357"/>
        <w:rPr>
          <w:rFonts w:ascii="Arial" w:eastAsia="Calibri" w:hAnsi="Arial" w:cs="Arial"/>
          <w:b/>
          <w:color w:val="000000"/>
          <w:u w:val="single"/>
          <w:lang w:eastAsia="en-AU"/>
        </w:rPr>
      </w:pPr>
      <w:r w:rsidRPr="00973BEF">
        <w:rPr>
          <w:rFonts w:ascii="Arial" w:eastAsia="Calibri" w:hAnsi="Arial" w:cs="Arial"/>
          <w:b/>
          <w:color w:val="000000"/>
          <w:u w:val="single"/>
          <w:lang w:eastAsia="en-AU"/>
        </w:rPr>
        <w:t>Potential Disadvantages and Risks</w:t>
      </w:r>
    </w:p>
    <w:p w14:paraId="0B656C61" w14:textId="77777777" w:rsidR="007D0ED7" w:rsidRPr="00973BEF" w:rsidRDefault="007D0ED7" w:rsidP="00973BEF">
      <w:pPr>
        <w:autoSpaceDE w:val="0"/>
        <w:autoSpaceDN w:val="0"/>
        <w:rPr>
          <w:rFonts w:ascii="Arial" w:eastAsia="Calibri" w:hAnsi="Arial" w:cs="Arial"/>
          <w:color w:val="000000"/>
          <w:u w:val="single"/>
          <w:lang w:eastAsia="en-AU"/>
        </w:rPr>
      </w:pPr>
    </w:p>
    <w:p w14:paraId="4CFB81C8" w14:textId="6F4BFB56"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Can only receive full tax benefit if money is invested for 10 </w:t>
      </w:r>
      <w:proofErr w:type="gramStart"/>
      <w:r w:rsidRPr="00973BEF">
        <w:rPr>
          <w:rFonts w:ascii="Arial" w:eastAsia="Calibri" w:hAnsi="Arial" w:cs="Arial"/>
          <w:sz w:val="22"/>
          <w:szCs w:val="22"/>
          <w:lang w:eastAsia="en-AU"/>
        </w:rPr>
        <w:t>years</w:t>
      </w:r>
      <w:r w:rsidR="001D7D32" w:rsidRPr="00973BEF">
        <w:rPr>
          <w:rFonts w:ascii="Arial" w:eastAsia="Calibri" w:hAnsi="Arial" w:cs="Arial"/>
          <w:sz w:val="22"/>
          <w:szCs w:val="22"/>
          <w:lang w:eastAsia="en-AU"/>
        </w:rPr>
        <w:t>;</w:t>
      </w:r>
      <w:proofErr w:type="gramEnd"/>
      <w:r w:rsidRPr="00973BEF">
        <w:rPr>
          <w:rFonts w:ascii="Arial" w:eastAsia="Calibri" w:hAnsi="Arial" w:cs="Arial"/>
          <w:sz w:val="22"/>
          <w:szCs w:val="22"/>
          <w:lang w:eastAsia="en-AU"/>
        </w:rPr>
        <w:t xml:space="preserve"> </w:t>
      </w:r>
    </w:p>
    <w:p w14:paraId="67AEA680" w14:textId="07519DA7"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All distributions are retained within the </w:t>
      </w:r>
      <w:proofErr w:type="gramStart"/>
      <w:r w:rsidRPr="00973BEF">
        <w:rPr>
          <w:rFonts w:ascii="Arial" w:eastAsia="Calibri" w:hAnsi="Arial" w:cs="Arial"/>
          <w:sz w:val="22"/>
          <w:szCs w:val="22"/>
          <w:lang w:eastAsia="en-AU"/>
        </w:rPr>
        <w:t>bond</w:t>
      </w:r>
      <w:r w:rsidR="001D7D32" w:rsidRPr="00973BEF">
        <w:rPr>
          <w:rFonts w:ascii="Arial" w:eastAsia="Calibri" w:hAnsi="Arial" w:cs="Arial"/>
          <w:sz w:val="22"/>
          <w:szCs w:val="22"/>
          <w:lang w:eastAsia="en-AU"/>
        </w:rPr>
        <w:t>;</w:t>
      </w:r>
      <w:proofErr w:type="gramEnd"/>
    </w:p>
    <w:p w14:paraId="32367C54" w14:textId="35154BF7"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Investor can only contribute 125% of the previous year’s contribution in order to comply with the 10-year </w:t>
      </w:r>
      <w:proofErr w:type="gramStart"/>
      <w:r w:rsidRPr="00973BEF">
        <w:rPr>
          <w:rFonts w:ascii="Arial" w:eastAsia="Calibri" w:hAnsi="Arial" w:cs="Arial"/>
          <w:sz w:val="22"/>
          <w:szCs w:val="22"/>
          <w:lang w:eastAsia="en-AU"/>
        </w:rPr>
        <w:t>period</w:t>
      </w:r>
      <w:r w:rsidR="001D7D32" w:rsidRPr="00973BEF">
        <w:rPr>
          <w:rFonts w:ascii="Arial" w:eastAsia="Calibri" w:hAnsi="Arial" w:cs="Arial"/>
          <w:sz w:val="22"/>
          <w:szCs w:val="22"/>
          <w:lang w:eastAsia="en-AU"/>
        </w:rPr>
        <w:t>;</w:t>
      </w:r>
      <w:proofErr w:type="gramEnd"/>
      <w:r w:rsidRPr="00973BEF">
        <w:rPr>
          <w:rFonts w:ascii="Arial" w:eastAsia="Calibri" w:hAnsi="Arial" w:cs="Arial"/>
          <w:sz w:val="22"/>
          <w:szCs w:val="22"/>
          <w:lang w:eastAsia="en-AU"/>
        </w:rPr>
        <w:t xml:space="preserve"> </w:t>
      </w:r>
    </w:p>
    <w:p w14:paraId="6B7818B8" w14:textId="5D0B5604" w:rsidR="00F948A2"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Generally, the more defensive assets held, such as cash and fixed interest, the lower the returns and risk. The more growth assets held (such as shares), the greater the potential for higher returns and higher risk.</w:t>
      </w:r>
    </w:p>
    <w:sectPr w:rsidR="00F948A2" w:rsidRPr="00973BEF" w:rsidSect="001E457E">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05A35" w14:textId="77777777" w:rsidR="0069514B" w:rsidRDefault="0069514B" w:rsidP="005B100E">
      <w:r>
        <w:separator/>
      </w:r>
    </w:p>
  </w:endnote>
  <w:endnote w:type="continuationSeparator" w:id="0">
    <w:p w14:paraId="46486BE4" w14:textId="77777777" w:rsidR="0069514B" w:rsidRDefault="0069514B" w:rsidP="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Bold">
    <w:altName w:val="Arial"/>
    <w:panose1 w:val="00000000000000000000"/>
    <w:charset w:val="00"/>
    <w:family w:val="modern"/>
    <w:notTrueType/>
    <w:pitch w:val="variable"/>
    <w:sig w:usb0="00000083" w:usb1="00000000" w:usb2="00000000" w:usb3="00000000" w:csb0="00000009" w:csb1="00000000"/>
  </w:font>
  <w:font w:name="Helvetica LT">
    <w:panose1 w:val="00000000000000000000"/>
    <w:charset w:val="00"/>
    <w:family w:val="modern"/>
    <w:notTrueType/>
    <w:pitch w:val="variable"/>
    <w:sig w:usb0="00000083" w:usb1="00000000" w:usb2="00000000" w:usb3="00000000" w:csb0="00000009" w:csb1="00000000"/>
  </w:font>
  <w:font w:name="HelveticaNeue-Light">
    <w:altName w:val="Arial"/>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Maison Neue">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484554"/>
      <w:docPartObj>
        <w:docPartGallery w:val="Page Numbers (Bottom of Page)"/>
        <w:docPartUnique/>
      </w:docPartObj>
    </w:sdtPr>
    <w:sdtEndPr>
      <w:rPr>
        <w:noProof/>
      </w:rPr>
    </w:sdtEndPr>
    <w:sdtContent>
      <w:p w14:paraId="01B888EE" w14:textId="77777777" w:rsidR="0023589F" w:rsidRDefault="0023589F" w:rsidP="00973BEF">
        <w:pPr>
          <w:pStyle w:val="Footer"/>
          <w:ind w:right="-914"/>
          <w:jc w:val="right"/>
        </w:pPr>
        <w:r w:rsidRPr="002D13A1">
          <w:rPr>
            <w:rFonts w:ascii="Arial" w:hAnsi="Arial" w:cs="Arial"/>
            <w:b/>
            <w:bCs/>
            <w:sz w:val="22"/>
            <w:szCs w:val="22"/>
          </w:rPr>
          <w:fldChar w:fldCharType="begin"/>
        </w:r>
        <w:r w:rsidRPr="002D13A1">
          <w:rPr>
            <w:rFonts w:ascii="Arial" w:hAnsi="Arial" w:cs="Arial"/>
            <w:b/>
            <w:bCs/>
            <w:sz w:val="22"/>
            <w:szCs w:val="22"/>
          </w:rPr>
          <w:instrText xml:space="preserve"> PAGE   \* MERGEFORMAT </w:instrText>
        </w:r>
        <w:r w:rsidRPr="002D13A1">
          <w:rPr>
            <w:rFonts w:ascii="Arial" w:hAnsi="Arial" w:cs="Arial"/>
            <w:b/>
            <w:bCs/>
            <w:sz w:val="22"/>
            <w:szCs w:val="22"/>
          </w:rPr>
          <w:fldChar w:fldCharType="separate"/>
        </w:r>
        <w:r w:rsidRPr="002D13A1">
          <w:rPr>
            <w:rFonts w:ascii="Arial" w:hAnsi="Arial" w:cs="Arial"/>
            <w:b/>
            <w:bCs/>
            <w:noProof/>
            <w:sz w:val="22"/>
            <w:szCs w:val="22"/>
          </w:rPr>
          <w:t>2</w:t>
        </w:r>
        <w:r w:rsidRPr="002D13A1">
          <w:rPr>
            <w:rFonts w:ascii="Arial" w:hAnsi="Arial" w:cs="Arial"/>
            <w:b/>
            <w:bCs/>
            <w:noProof/>
            <w:sz w:val="22"/>
            <w:szCs w:val="22"/>
          </w:rPr>
          <w:fldChar w:fldCharType="end"/>
        </w:r>
      </w:p>
    </w:sdtContent>
  </w:sdt>
  <w:p w14:paraId="1F69B228" w14:textId="77777777" w:rsidR="0023589F" w:rsidRDefault="0023589F" w:rsidP="00C377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CA0B7" w14:textId="77777777" w:rsidR="0069514B" w:rsidRDefault="0069514B" w:rsidP="005B100E">
      <w:r>
        <w:separator/>
      </w:r>
    </w:p>
  </w:footnote>
  <w:footnote w:type="continuationSeparator" w:id="0">
    <w:p w14:paraId="34E299A2" w14:textId="77777777" w:rsidR="0069514B" w:rsidRDefault="0069514B" w:rsidP="005B100E">
      <w:r>
        <w:continuationSeparator/>
      </w:r>
    </w:p>
  </w:footnote>
  <w:footnote w:id="1">
    <w:p w14:paraId="13A542F6" w14:textId="620641AD"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Pr="009B4310">
        <w:rPr>
          <w:rFonts w:ascii="Arial" w:eastAsia="Times New Roman" w:hAnsi="Arial" w:cs="Arial"/>
          <w:bCs/>
          <w:sz w:val="16"/>
          <w:szCs w:val="16"/>
          <w:lang w:eastAsia="en-AU"/>
        </w:rPr>
        <w:t xml:space="preserve">Centuria AUM as </w:t>
      </w:r>
      <w:proofErr w:type="gramStart"/>
      <w:r w:rsidRPr="009B4310">
        <w:rPr>
          <w:rFonts w:ascii="Arial" w:eastAsia="Times New Roman" w:hAnsi="Arial" w:cs="Arial"/>
          <w:bCs/>
          <w:sz w:val="16"/>
          <w:szCs w:val="16"/>
          <w:lang w:eastAsia="en-AU"/>
        </w:rPr>
        <w:t>at</w:t>
      </w:r>
      <w:proofErr w:type="gramEnd"/>
      <w:r w:rsidRPr="009B4310">
        <w:rPr>
          <w:rFonts w:ascii="Arial" w:eastAsia="Times New Roman" w:hAnsi="Arial" w:cs="Arial"/>
          <w:bCs/>
          <w:sz w:val="16"/>
          <w:szCs w:val="16"/>
          <w:lang w:eastAsia="en-AU"/>
        </w:rPr>
        <w:t xml:space="preserve"> 3</w:t>
      </w:r>
      <w:r w:rsidR="003F67CE">
        <w:rPr>
          <w:rFonts w:ascii="Arial" w:eastAsia="Times New Roman" w:hAnsi="Arial" w:cs="Arial"/>
          <w:bCs/>
          <w:sz w:val="16"/>
          <w:szCs w:val="16"/>
          <w:lang w:eastAsia="en-AU"/>
        </w:rPr>
        <w:t>1</w:t>
      </w:r>
      <w:r w:rsidRPr="009B4310">
        <w:rPr>
          <w:rFonts w:ascii="Arial" w:eastAsia="Times New Roman" w:hAnsi="Arial" w:cs="Arial"/>
          <w:bCs/>
          <w:sz w:val="16"/>
          <w:szCs w:val="16"/>
          <w:lang w:eastAsia="en-AU"/>
        </w:rPr>
        <w:t xml:space="preserve"> </w:t>
      </w:r>
      <w:r w:rsidR="00B2329D">
        <w:rPr>
          <w:rFonts w:ascii="Arial" w:eastAsia="Times New Roman" w:hAnsi="Arial" w:cs="Arial"/>
          <w:bCs/>
          <w:sz w:val="16"/>
          <w:szCs w:val="16"/>
          <w:lang w:eastAsia="en-AU"/>
        </w:rPr>
        <w:t>December</w:t>
      </w:r>
      <w:r w:rsidRPr="009B4310">
        <w:rPr>
          <w:rFonts w:ascii="Arial" w:eastAsia="Times New Roman" w:hAnsi="Arial" w:cs="Arial"/>
          <w:bCs/>
          <w:sz w:val="16"/>
          <w:szCs w:val="16"/>
          <w:lang w:eastAsia="en-AU"/>
        </w:rPr>
        <w:t xml:space="preserve"> 202</w:t>
      </w:r>
      <w:r w:rsidR="006D1A7B">
        <w:rPr>
          <w:rFonts w:ascii="Arial" w:eastAsia="Times New Roman" w:hAnsi="Arial" w:cs="Arial"/>
          <w:bCs/>
          <w:sz w:val="16"/>
          <w:szCs w:val="16"/>
          <w:lang w:eastAsia="en-AU"/>
        </w:rPr>
        <w:t>3</w:t>
      </w:r>
    </w:p>
  </w:footnote>
  <w:footnote w:id="2">
    <w:p w14:paraId="10C9DF87" w14:textId="3DB4E5C9"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00314609">
        <w:rPr>
          <w:rFonts w:ascii="Arial" w:eastAsia="Times New Roman" w:hAnsi="Arial" w:cs="Arial"/>
          <w:bCs/>
          <w:sz w:val="16"/>
          <w:szCs w:val="16"/>
          <w:lang w:eastAsia="en-AU"/>
        </w:rPr>
        <w:t>Plan for Life</w:t>
      </w:r>
      <w:r w:rsidRPr="009B4310">
        <w:rPr>
          <w:rFonts w:ascii="Arial" w:eastAsia="Times New Roman" w:hAnsi="Arial" w:cs="Arial"/>
          <w:bCs/>
          <w:sz w:val="16"/>
          <w:szCs w:val="16"/>
          <w:lang w:eastAsia="en-AU"/>
        </w:rPr>
        <w:t xml:space="preserve"> Report </w:t>
      </w:r>
      <w:r w:rsidR="00314609">
        <w:rPr>
          <w:rFonts w:ascii="Arial" w:eastAsia="Times New Roman" w:hAnsi="Arial" w:cs="Arial"/>
          <w:bCs/>
          <w:sz w:val="16"/>
          <w:szCs w:val="16"/>
          <w:lang w:eastAsia="en-AU"/>
        </w:rPr>
        <w:t>March 2023</w:t>
      </w:r>
    </w:p>
  </w:footnote>
  <w:footnote w:id="3">
    <w:p w14:paraId="23FC7ABB" w14:textId="38B304D6" w:rsidR="009B4310" w:rsidRPr="009B4310" w:rsidRDefault="009B4310">
      <w:pPr>
        <w:pStyle w:val="FootnoteText"/>
        <w:rPr>
          <w:lang w:val="en-AU"/>
        </w:rPr>
      </w:pPr>
      <w:r w:rsidRPr="009B4310">
        <w:rPr>
          <w:rStyle w:val="FootnoteReference"/>
          <w:sz w:val="16"/>
          <w:szCs w:val="16"/>
        </w:rPr>
        <w:footnoteRef/>
      </w:r>
      <w:r w:rsidRPr="009B4310">
        <w:rPr>
          <w:sz w:val="16"/>
          <w:szCs w:val="16"/>
        </w:rPr>
        <w:t xml:space="preserve"> </w:t>
      </w:r>
      <w:r w:rsidRPr="009B4310">
        <w:rPr>
          <w:rFonts w:ascii="Arial" w:eastAsia="Times New Roman" w:hAnsi="Arial" w:cs="Arial"/>
          <w:bCs/>
          <w:sz w:val="16"/>
          <w:szCs w:val="16"/>
          <w:lang w:eastAsia="en-AU"/>
        </w:rPr>
        <w:t>Centuria Life Limited (CLL) is the key service provider to Over Fifty Guardian Friendly Society Limited</w:t>
      </w:r>
    </w:p>
  </w:footnote>
  <w:footnote w:id="4">
    <w:p w14:paraId="24DE929B" w14:textId="77777777" w:rsidR="009B4310" w:rsidRPr="009B4310" w:rsidRDefault="009B4310" w:rsidP="009B4310">
      <w:pPr>
        <w:pStyle w:val="Pa13"/>
        <w:spacing w:after="100"/>
        <w:rPr>
          <w:rFonts w:ascii="Arial" w:hAnsi="Arial" w:cs="Arial"/>
          <w:color w:val="000000"/>
          <w:sz w:val="16"/>
          <w:szCs w:val="16"/>
          <w:lang w:val="en-US"/>
        </w:rPr>
      </w:pPr>
      <w:r>
        <w:rPr>
          <w:rStyle w:val="FootnoteReference"/>
        </w:rPr>
        <w:footnoteRef/>
      </w:r>
      <w:r>
        <w:t xml:space="preserve"> </w:t>
      </w:r>
      <w:r w:rsidRPr="009B4310">
        <w:rPr>
          <w:rFonts w:ascii="Arial" w:hAnsi="Arial" w:cs="Arial"/>
          <w:color w:val="000000"/>
          <w:sz w:val="16"/>
          <w:szCs w:val="16"/>
          <w:lang w:val="en-US"/>
        </w:rPr>
        <w:t>Marginal tax rates are based on the Australian resident tax rates effective for the 2020-2021 tax year including the Medicare levy of 2.0% and excluding the Medicare levy surcharge. The Medicare levy only applies to tax-paying residents. (Source: ATO).</w:t>
      </w:r>
    </w:p>
    <w:p w14:paraId="09AB080C" w14:textId="77777777" w:rsidR="009B4310" w:rsidRPr="009B4310" w:rsidRDefault="009B4310" w:rsidP="009B4310">
      <w:pPr>
        <w:rPr>
          <w:rFonts w:ascii="Arial" w:eastAsia="Times New Roman" w:hAnsi="Arial" w:cs="Arial"/>
          <w:sz w:val="16"/>
          <w:szCs w:val="16"/>
          <w:lang w:eastAsia="en-AU"/>
        </w:rPr>
      </w:pPr>
      <w:r w:rsidRPr="009B4310">
        <w:rPr>
          <w:rFonts w:ascii="Arial" w:hAnsi="Arial" w:cs="Arial"/>
          <w:color w:val="000000"/>
          <w:sz w:val="16"/>
          <w:szCs w:val="16"/>
        </w:rPr>
        <w:t xml:space="preserve">Tax rates change from time to time, and marginal tax rates higher than 30% reflect the relative effectiveness of Centuria LifeGoals’ tax-paid returns. Returns are income returns only. CGT discounts may apply to some investments held outside of the Centuria LifeGoals structure where the investment return includes a discounted capital gain. </w:t>
      </w:r>
      <w:r w:rsidRPr="009B4310">
        <w:rPr>
          <w:rFonts w:ascii="Arial" w:hAnsi="Arial" w:cs="Arial"/>
          <w:b/>
          <w:bCs/>
          <w:color w:val="000000"/>
          <w:sz w:val="16"/>
          <w:szCs w:val="16"/>
        </w:rPr>
        <w:t>The above rates of return have been assumed and are for illustration purposes only. No representation is made that those rates (or any other rates) of return will be achieved or that there will not be investment losses. Actual investment results will differ.</w:t>
      </w:r>
    </w:p>
    <w:p w14:paraId="01606FA2" w14:textId="77777777" w:rsidR="009B4310" w:rsidRPr="009B4310" w:rsidRDefault="009B4310" w:rsidP="009B4310">
      <w:pPr>
        <w:pStyle w:val="FootnoteText"/>
        <w:rPr>
          <w:lang w:val="en-AU"/>
        </w:rPr>
      </w:pPr>
    </w:p>
  </w:footnote>
  <w:footnote w:id="5">
    <w:p w14:paraId="32A538BD" w14:textId="2B65818E"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Pr="009B4310">
        <w:rPr>
          <w:rFonts w:ascii="Arial" w:hAnsi="Arial" w:cs="Arial"/>
          <w:color w:val="000000"/>
          <w:sz w:val="16"/>
          <w:szCs w:val="16"/>
        </w:rPr>
        <w:t>Superannuation concessional contributions are currently capped at $25,000 for a financial year. The non-concessional contribution cap of $100,000 also applies for each financial year. Superannuation is also subject to a ‘total superannuation balance’ cap (which may limit Investors from making additional contributions). Penalty tax rates apply if you exceed either of these caps (Source: ATO).</w:t>
      </w:r>
    </w:p>
  </w:footnote>
  <w:footnote w:id="6">
    <w:p w14:paraId="64CD4A23" w14:textId="46BE23D7" w:rsidR="00F34C7C" w:rsidRPr="00F34C7C" w:rsidRDefault="00F34C7C">
      <w:pPr>
        <w:pStyle w:val="FootnoteText"/>
        <w:rPr>
          <w:lang w:val="en-AU"/>
        </w:rPr>
      </w:pPr>
    </w:p>
  </w:footnote>
  <w:footnote w:id="7">
    <w:p w14:paraId="05238980" w14:textId="227D0AF8" w:rsidR="009B4310" w:rsidRPr="009B4310" w:rsidRDefault="009B4310">
      <w:pPr>
        <w:pStyle w:val="FootnoteText"/>
        <w:rPr>
          <w:lang w:val="en-AU"/>
        </w:rPr>
      </w:pPr>
      <w:r w:rsidRPr="009B4310">
        <w:rPr>
          <w:rStyle w:val="FootnoteReference"/>
          <w:sz w:val="16"/>
          <w:szCs w:val="16"/>
        </w:rPr>
        <w:footnoteRef/>
      </w:r>
      <w:r w:rsidRPr="009B4310">
        <w:rPr>
          <w:sz w:val="16"/>
          <w:szCs w:val="16"/>
        </w:rPr>
        <w:t xml:space="preserve"> </w:t>
      </w:r>
      <w:r w:rsidRPr="009B4310">
        <w:rPr>
          <w:rFonts w:ascii="Arial" w:hAnsi="Arial" w:cs="Arial"/>
          <w:color w:val="000000"/>
          <w:sz w:val="16"/>
          <w:szCs w:val="16"/>
        </w:rPr>
        <w:t>If an individual leaves superannuation to non-dependent beneficiaries, they will incur tax on the inheritance (Source: 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6D7B"/>
    <w:multiLevelType w:val="hybridMultilevel"/>
    <w:tmpl w:val="43940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A6545"/>
    <w:multiLevelType w:val="hybridMultilevel"/>
    <w:tmpl w:val="A2A29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63733B"/>
    <w:multiLevelType w:val="hybridMultilevel"/>
    <w:tmpl w:val="37C85E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646BC"/>
    <w:multiLevelType w:val="hybridMultilevel"/>
    <w:tmpl w:val="A0486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4E50AD"/>
    <w:multiLevelType w:val="hybridMultilevel"/>
    <w:tmpl w:val="9F48F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3A5B5D"/>
    <w:multiLevelType w:val="hybridMultilevel"/>
    <w:tmpl w:val="746CB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560BB"/>
    <w:multiLevelType w:val="hybridMultilevel"/>
    <w:tmpl w:val="9FD67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30E89"/>
    <w:multiLevelType w:val="hybridMultilevel"/>
    <w:tmpl w:val="305C8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E1086B"/>
    <w:multiLevelType w:val="hybridMultilevel"/>
    <w:tmpl w:val="5B52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046A0"/>
    <w:multiLevelType w:val="hybridMultilevel"/>
    <w:tmpl w:val="C4A8E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7613CA"/>
    <w:multiLevelType w:val="hybridMultilevel"/>
    <w:tmpl w:val="9BE65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D676ED"/>
    <w:multiLevelType w:val="hybridMultilevel"/>
    <w:tmpl w:val="B0426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774A3"/>
    <w:multiLevelType w:val="hybridMultilevel"/>
    <w:tmpl w:val="5ADC0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8708D"/>
    <w:multiLevelType w:val="hybridMultilevel"/>
    <w:tmpl w:val="1F22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B7854"/>
    <w:multiLevelType w:val="hybridMultilevel"/>
    <w:tmpl w:val="191E1640"/>
    <w:lvl w:ilvl="0" w:tplc="B948B9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6249C"/>
    <w:multiLevelType w:val="hybridMultilevel"/>
    <w:tmpl w:val="9738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711AF"/>
    <w:multiLevelType w:val="hybridMultilevel"/>
    <w:tmpl w:val="68CE3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7637597">
    <w:abstractNumId w:val="4"/>
  </w:num>
  <w:num w:numId="2" w16cid:durableId="995840624">
    <w:abstractNumId w:val="1"/>
  </w:num>
  <w:num w:numId="3" w16cid:durableId="1626934082">
    <w:abstractNumId w:val="14"/>
  </w:num>
  <w:num w:numId="4" w16cid:durableId="763302848">
    <w:abstractNumId w:val="8"/>
  </w:num>
  <w:num w:numId="5" w16cid:durableId="1751610280">
    <w:abstractNumId w:val="2"/>
  </w:num>
  <w:num w:numId="6" w16cid:durableId="1976789773">
    <w:abstractNumId w:val="5"/>
  </w:num>
  <w:num w:numId="7" w16cid:durableId="2062827623">
    <w:abstractNumId w:val="7"/>
  </w:num>
  <w:num w:numId="8" w16cid:durableId="875967963">
    <w:abstractNumId w:val="6"/>
  </w:num>
  <w:num w:numId="9" w16cid:durableId="2141989903">
    <w:abstractNumId w:val="0"/>
  </w:num>
  <w:num w:numId="10" w16cid:durableId="1325745647">
    <w:abstractNumId w:val="3"/>
  </w:num>
  <w:num w:numId="11" w16cid:durableId="432016291">
    <w:abstractNumId w:val="10"/>
  </w:num>
  <w:num w:numId="12" w16cid:durableId="1344670311">
    <w:abstractNumId w:val="11"/>
  </w:num>
  <w:num w:numId="13" w16cid:durableId="43188929">
    <w:abstractNumId w:val="12"/>
  </w:num>
  <w:num w:numId="14" w16cid:durableId="249462332">
    <w:abstractNumId w:val="9"/>
  </w:num>
  <w:num w:numId="15" w16cid:durableId="1676034504">
    <w:abstractNumId w:val="16"/>
  </w:num>
  <w:num w:numId="16" w16cid:durableId="62870639">
    <w:abstractNumId w:val="15"/>
  </w:num>
  <w:num w:numId="17" w16cid:durableId="1536622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15"/>
    <w:rsid w:val="000005E2"/>
    <w:rsid w:val="0001344B"/>
    <w:rsid w:val="00044F7C"/>
    <w:rsid w:val="00062716"/>
    <w:rsid w:val="00067B5D"/>
    <w:rsid w:val="00071D9A"/>
    <w:rsid w:val="00072591"/>
    <w:rsid w:val="0009328B"/>
    <w:rsid w:val="000D0928"/>
    <w:rsid w:val="000F0409"/>
    <w:rsid w:val="000F4AF2"/>
    <w:rsid w:val="000F6D2C"/>
    <w:rsid w:val="001048C1"/>
    <w:rsid w:val="0010733B"/>
    <w:rsid w:val="00116FEA"/>
    <w:rsid w:val="00123BEA"/>
    <w:rsid w:val="00146E0B"/>
    <w:rsid w:val="00147659"/>
    <w:rsid w:val="00172420"/>
    <w:rsid w:val="00190E0F"/>
    <w:rsid w:val="001921DD"/>
    <w:rsid w:val="00195A6F"/>
    <w:rsid w:val="001B35E7"/>
    <w:rsid w:val="001C3FD2"/>
    <w:rsid w:val="001D227D"/>
    <w:rsid w:val="001D247A"/>
    <w:rsid w:val="001D7D32"/>
    <w:rsid w:val="001E457E"/>
    <w:rsid w:val="00213C23"/>
    <w:rsid w:val="0022429B"/>
    <w:rsid w:val="00231CC9"/>
    <w:rsid w:val="0023589F"/>
    <w:rsid w:val="00237D1A"/>
    <w:rsid w:val="002568CE"/>
    <w:rsid w:val="00282F90"/>
    <w:rsid w:val="002B526D"/>
    <w:rsid w:val="002D13A1"/>
    <w:rsid w:val="002F031F"/>
    <w:rsid w:val="002F1BC6"/>
    <w:rsid w:val="002F2051"/>
    <w:rsid w:val="003143B4"/>
    <w:rsid w:val="00314609"/>
    <w:rsid w:val="00336F84"/>
    <w:rsid w:val="00363CE8"/>
    <w:rsid w:val="003672B6"/>
    <w:rsid w:val="00383CA0"/>
    <w:rsid w:val="003A484C"/>
    <w:rsid w:val="003B3EFF"/>
    <w:rsid w:val="003C0C7B"/>
    <w:rsid w:val="003D6F68"/>
    <w:rsid w:val="003E50B6"/>
    <w:rsid w:val="003F3D32"/>
    <w:rsid w:val="003F67CE"/>
    <w:rsid w:val="00417796"/>
    <w:rsid w:val="00432B50"/>
    <w:rsid w:val="004369C8"/>
    <w:rsid w:val="00466CA8"/>
    <w:rsid w:val="00466D4C"/>
    <w:rsid w:val="0047366F"/>
    <w:rsid w:val="00476BC0"/>
    <w:rsid w:val="00486736"/>
    <w:rsid w:val="004934A2"/>
    <w:rsid w:val="004C0EED"/>
    <w:rsid w:val="004C215F"/>
    <w:rsid w:val="004D11A6"/>
    <w:rsid w:val="004D50BD"/>
    <w:rsid w:val="004F577D"/>
    <w:rsid w:val="005201BD"/>
    <w:rsid w:val="00521E4B"/>
    <w:rsid w:val="005307A4"/>
    <w:rsid w:val="00535DD0"/>
    <w:rsid w:val="00543775"/>
    <w:rsid w:val="005548B6"/>
    <w:rsid w:val="0056032B"/>
    <w:rsid w:val="00565D1D"/>
    <w:rsid w:val="00571472"/>
    <w:rsid w:val="00573615"/>
    <w:rsid w:val="00596929"/>
    <w:rsid w:val="005B100E"/>
    <w:rsid w:val="005C37DB"/>
    <w:rsid w:val="00601E19"/>
    <w:rsid w:val="00624AE9"/>
    <w:rsid w:val="006412AC"/>
    <w:rsid w:val="00656ACF"/>
    <w:rsid w:val="00662BEC"/>
    <w:rsid w:val="00677ACE"/>
    <w:rsid w:val="0068104B"/>
    <w:rsid w:val="00691AB7"/>
    <w:rsid w:val="0069430F"/>
    <w:rsid w:val="0069514B"/>
    <w:rsid w:val="006A2E82"/>
    <w:rsid w:val="006A474C"/>
    <w:rsid w:val="006C53FC"/>
    <w:rsid w:val="006D1A7B"/>
    <w:rsid w:val="006F09BC"/>
    <w:rsid w:val="0070315D"/>
    <w:rsid w:val="0070358C"/>
    <w:rsid w:val="00704CB1"/>
    <w:rsid w:val="00705464"/>
    <w:rsid w:val="0073172E"/>
    <w:rsid w:val="007325A9"/>
    <w:rsid w:val="00736941"/>
    <w:rsid w:val="007446E8"/>
    <w:rsid w:val="007529D2"/>
    <w:rsid w:val="00757DE9"/>
    <w:rsid w:val="00763B36"/>
    <w:rsid w:val="00774586"/>
    <w:rsid w:val="00790459"/>
    <w:rsid w:val="0079190A"/>
    <w:rsid w:val="007A34FF"/>
    <w:rsid w:val="007D0ED7"/>
    <w:rsid w:val="008230C6"/>
    <w:rsid w:val="00841582"/>
    <w:rsid w:val="00845909"/>
    <w:rsid w:val="0085360D"/>
    <w:rsid w:val="0087110C"/>
    <w:rsid w:val="00872C65"/>
    <w:rsid w:val="008C4D85"/>
    <w:rsid w:val="00910998"/>
    <w:rsid w:val="009161B2"/>
    <w:rsid w:val="00917445"/>
    <w:rsid w:val="009301F6"/>
    <w:rsid w:val="009439F1"/>
    <w:rsid w:val="00946C1D"/>
    <w:rsid w:val="009538B1"/>
    <w:rsid w:val="00963804"/>
    <w:rsid w:val="009646C5"/>
    <w:rsid w:val="00973BEF"/>
    <w:rsid w:val="00985A43"/>
    <w:rsid w:val="0098639C"/>
    <w:rsid w:val="00994F39"/>
    <w:rsid w:val="009A05A3"/>
    <w:rsid w:val="009A1116"/>
    <w:rsid w:val="009B4310"/>
    <w:rsid w:val="009C5EBF"/>
    <w:rsid w:val="009D6AF1"/>
    <w:rsid w:val="00A17D1F"/>
    <w:rsid w:val="00A22AC8"/>
    <w:rsid w:val="00A23089"/>
    <w:rsid w:val="00A473AF"/>
    <w:rsid w:val="00A557BE"/>
    <w:rsid w:val="00A62769"/>
    <w:rsid w:val="00A62833"/>
    <w:rsid w:val="00A72CCC"/>
    <w:rsid w:val="00A83B2C"/>
    <w:rsid w:val="00A91B13"/>
    <w:rsid w:val="00AA307A"/>
    <w:rsid w:val="00AB07F2"/>
    <w:rsid w:val="00AC2775"/>
    <w:rsid w:val="00AD245F"/>
    <w:rsid w:val="00AD280F"/>
    <w:rsid w:val="00AD420E"/>
    <w:rsid w:val="00AE04F6"/>
    <w:rsid w:val="00AF1DD7"/>
    <w:rsid w:val="00AF5E1B"/>
    <w:rsid w:val="00B03C2E"/>
    <w:rsid w:val="00B2329D"/>
    <w:rsid w:val="00B261AD"/>
    <w:rsid w:val="00B47488"/>
    <w:rsid w:val="00B57F16"/>
    <w:rsid w:val="00B64C34"/>
    <w:rsid w:val="00B74073"/>
    <w:rsid w:val="00B82DB2"/>
    <w:rsid w:val="00B9224D"/>
    <w:rsid w:val="00B963BD"/>
    <w:rsid w:val="00B975BA"/>
    <w:rsid w:val="00BA58B7"/>
    <w:rsid w:val="00BB3C1B"/>
    <w:rsid w:val="00BC0226"/>
    <w:rsid w:val="00C05932"/>
    <w:rsid w:val="00C06437"/>
    <w:rsid w:val="00C07829"/>
    <w:rsid w:val="00C15A40"/>
    <w:rsid w:val="00C16E1E"/>
    <w:rsid w:val="00C26262"/>
    <w:rsid w:val="00C35E16"/>
    <w:rsid w:val="00C37730"/>
    <w:rsid w:val="00C83485"/>
    <w:rsid w:val="00CC5411"/>
    <w:rsid w:val="00CD419F"/>
    <w:rsid w:val="00CE475C"/>
    <w:rsid w:val="00D14807"/>
    <w:rsid w:val="00D2305E"/>
    <w:rsid w:val="00D253DE"/>
    <w:rsid w:val="00D27FDE"/>
    <w:rsid w:val="00D45D5A"/>
    <w:rsid w:val="00D73121"/>
    <w:rsid w:val="00D841FF"/>
    <w:rsid w:val="00D84B74"/>
    <w:rsid w:val="00D86B5A"/>
    <w:rsid w:val="00D95B1A"/>
    <w:rsid w:val="00DB01B3"/>
    <w:rsid w:val="00DC4EF9"/>
    <w:rsid w:val="00DD2569"/>
    <w:rsid w:val="00DD72D7"/>
    <w:rsid w:val="00DE0B44"/>
    <w:rsid w:val="00DE1F47"/>
    <w:rsid w:val="00DF091B"/>
    <w:rsid w:val="00DF6327"/>
    <w:rsid w:val="00E0531F"/>
    <w:rsid w:val="00E11827"/>
    <w:rsid w:val="00E1271D"/>
    <w:rsid w:val="00E12FEC"/>
    <w:rsid w:val="00E256DD"/>
    <w:rsid w:val="00E3037B"/>
    <w:rsid w:val="00E30694"/>
    <w:rsid w:val="00E41C3A"/>
    <w:rsid w:val="00E421F4"/>
    <w:rsid w:val="00E437B5"/>
    <w:rsid w:val="00E46575"/>
    <w:rsid w:val="00E550F1"/>
    <w:rsid w:val="00E6668F"/>
    <w:rsid w:val="00E77CDC"/>
    <w:rsid w:val="00EA0164"/>
    <w:rsid w:val="00EE5D35"/>
    <w:rsid w:val="00EF0B6B"/>
    <w:rsid w:val="00F06960"/>
    <w:rsid w:val="00F316A9"/>
    <w:rsid w:val="00F34C7C"/>
    <w:rsid w:val="00F61961"/>
    <w:rsid w:val="00F63423"/>
    <w:rsid w:val="00F75152"/>
    <w:rsid w:val="00F775FD"/>
    <w:rsid w:val="00F77D44"/>
    <w:rsid w:val="00F93E22"/>
    <w:rsid w:val="00F948A2"/>
    <w:rsid w:val="00F9630D"/>
    <w:rsid w:val="00FA6B44"/>
    <w:rsid w:val="00FB510A"/>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35606"/>
  <w14:defaultImageDpi w14:val="300"/>
  <w15:docId w15:val="{BA8340FB-E0AA-4E4E-B15C-B62448D8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83CA0"/>
    <w:pPr>
      <w:spacing w:before="360" w:after="120"/>
      <w:contextualSpacing/>
      <w:outlineLvl w:val="1"/>
    </w:pPr>
    <w:rPr>
      <w:rFonts w:ascii="Helvetica LT Bold" w:eastAsia="Helvetica LT" w:hAnsi="Helvetica LT Bold" w:cs="Times New Roman"/>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615"/>
    <w:pPr>
      <w:widowControl w:val="0"/>
      <w:suppressAutoHyphens/>
      <w:autoSpaceDE w:val="0"/>
      <w:autoSpaceDN w:val="0"/>
      <w:adjustRightInd w:val="0"/>
      <w:spacing w:after="227" w:line="220" w:lineRule="atLeast"/>
      <w:textAlignment w:val="center"/>
    </w:pPr>
    <w:rPr>
      <w:rFonts w:ascii="HelveticaNeue-Light" w:hAnsi="HelveticaNeue-Light" w:cs="HelveticaNeue-Light"/>
      <w:color w:val="000000"/>
      <w:sz w:val="18"/>
      <w:szCs w:val="18"/>
    </w:rPr>
  </w:style>
  <w:style w:type="paragraph" w:customStyle="1" w:styleId="BODYReversedWhite9pt11">
    <w:name w:val="BODY_Reversed White 9pt 11"/>
    <w:basedOn w:val="Normal"/>
    <w:uiPriority w:val="99"/>
    <w:rsid w:val="00573615"/>
    <w:pPr>
      <w:widowControl w:val="0"/>
      <w:suppressAutoHyphens/>
      <w:autoSpaceDE w:val="0"/>
      <w:autoSpaceDN w:val="0"/>
      <w:adjustRightInd w:val="0"/>
      <w:spacing w:after="227" w:line="220" w:lineRule="atLeast"/>
      <w:textAlignment w:val="center"/>
    </w:pPr>
    <w:rPr>
      <w:rFonts w:ascii="HelveticaNeue" w:hAnsi="HelveticaNeue" w:cs="HelveticaNeue"/>
      <w:color w:val="FFFFFF"/>
      <w:sz w:val="18"/>
      <w:szCs w:val="18"/>
    </w:rPr>
  </w:style>
  <w:style w:type="paragraph" w:customStyle="1" w:styleId="PARAGRAPHHEADINGRev13pt156">
    <w:name w:val="PARAGRAPH HEADING_Rev 13pt 15.6"/>
    <w:basedOn w:val="Normal"/>
    <w:uiPriority w:val="99"/>
    <w:rsid w:val="00573615"/>
    <w:pPr>
      <w:widowControl w:val="0"/>
      <w:suppressAutoHyphens/>
      <w:autoSpaceDE w:val="0"/>
      <w:autoSpaceDN w:val="0"/>
      <w:adjustRightInd w:val="0"/>
      <w:spacing w:after="227" w:line="312" w:lineRule="atLeast"/>
      <w:textAlignment w:val="center"/>
    </w:pPr>
    <w:rPr>
      <w:rFonts w:ascii="HelveticaNeue-Bold" w:hAnsi="HelveticaNeue-Bold" w:cs="HelveticaNeue-Bold"/>
      <w:b/>
      <w:bCs/>
      <w:color w:val="FFFFFF"/>
      <w:sz w:val="26"/>
      <w:szCs w:val="26"/>
    </w:rPr>
  </w:style>
  <w:style w:type="paragraph" w:customStyle="1" w:styleId="SubHeader-RED">
    <w:name w:val="SubHeader - RED"/>
    <w:basedOn w:val="Normal"/>
    <w:uiPriority w:val="99"/>
    <w:rsid w:val="00573615"/>
    <w:pPr>
      <w:widowControl w:val="0"/>
      <w:suppressAutoHyphens/>
      <w:autoSpaceDE w:val="0"/>
      <w:autoSpaceDN w:val="0"/>
      <w:adjustRightInd w:val="0"/>
      <w:spacing w:after="113" w:line="288" w:lineRule="auto"/>
      <w:textAlignment w:val="center"/>
    </w:pPr>
    <w:rPr>
      <w:rFonts w:ascii="HelveticaNeue-Bold" w:hAnsi="HelveticaNeue-Bold" w:cs="HelveticaNeue-Bold"/>
      <w:b/>
      <w:bCs/>
      <w:color w:val="155577"/>
      <w:sz w:val="26"/>
      <w:szCs w:val="26"/>
    </w:rPr>
  </w:style>
  <w:style w:type="paragraph" w:customStyle="1" w:styleId="16ptBodyStand-OutPara">
    <w:name w:val="16pt Body Stand-Out Para"/>
    <w:basedOn w:val="SubHeader-RED"/>
    <w:uiPriority w:val="99"/>
    <w:rsid w:val="00573615"/>
    <w:pPr>
      <w:spacing w:line="384" w:lineRule="atLeast"/>
    </w:pPr>
    <w:rPr>
      <w:color w:val="937965"/>
      <w:sz w:val="32"/>
      <w:szCs w:val="32"/>
    </w:rPr>
  </w:style>
  <w:style w:type="character" w:customStyle="1" w:styleId="PageTitle">
    <w:name w:val="Page Title"/>
    <w:uiPriority w:val="99"/>
    <w:rsid w:val="00573615"/>
    <w:rPr>
      <w:b/>
      <w:bCs/>
      <w:color w:val="000000"/>
      <w:sz w:val="44"/>
      <w:szCs w:val="44"/>
    </w:rPr>
  </w:style>
  <w:style w:type="paragraph" w:customStyle="1" w:styleId="PageHeader">
    <w:name w:val="Page Header"/>
    <w:basedOn w:val="Normal"/>
    <w:uiPriority w:val="99"/>
    <w:rsid w:val="00573615"/>
    <w:pPr>
      <w:widowControl w:val="0"/>
      <w:suppressAutoHyphens/>
      <w:autoSpaceDE w:val="0"/>
      <w:autoSpaceDN w:val="0"/>
      <w:adjustRightInd w:val="0"/>
      <w:spacing w:after="227" w:line="480" w:lineRule="atLeast"/>
      <w:textAlignment w:val="center"/>
    </w:pPr>
    <w:rPr>
      <w:rFonts w:ascii="HelveticaNeue-Bold" w:hAnsi="HelveticaNeue-Bold" w:cs="HelveticaNeue-Bold"/>
      <w:b/>
      <w:bCs/>
      <w:color w:val="000000"/>
      <w:sz w:val="44"/>
      <w:szCs w:val="44"/>
    </w:rPr>
  </w:style>
  <w:style w:type="paragraph" w:customStyle="1" w:styleId="NoParagraphStyle">
    <w:name w:val="[No Paragraph Style]"/>
    <w:rsid w:val="00044F7C"/>
    <w:pPr>
      <w:widowControl w:val="0"/>
      <w:autoSpaceDE w:val="0"/>
      <w:autoSpaceDN w:val="0"/>
      <w:adjustRightInd w:val="0"/>
      <w:spacing w:line="288" w:lineRule="auto"/>
      <w:textAlignment w:val="center"/>
    </w:pPr>
    <w:rPr>
      <w:rFonts w:ascii="HelveticaNeue-Light" w:hAnsi="HelveticaNeue-Light" w:cs="Times New Roman"/>
      <w:color w:val="000000"/>
    </w:rPr>
  </w:style>
  <w:style w:type="paragraph" w:customStyle="1" w:styleId="captioncopy">
    <w:name w:val="caption copy"/>
    <w:basedOn w:val="NoParagraphStyle"/>
    <w:uiPriority w:val="99"/>
    <w:rsid w:val="00044F7C"/>
    <w:pPr>
      <w:spacing w:after="227"/>
    </w:pPr>
    <w:rPr>
      <w:rFonts w:cs="HelveticaNeue-Light"/>
      <w:sz w:val="16"/>
      <w:szCs w:val="16"/>
    </w:rPr>
  </w:style>
  <w:style w:type="paragraph" w:customStyle="1" w:styleId="BODYSTANDARDBLACK9pt11">
    <w:name w:val="BODY_STANDARD_BLACK 9pt 11"/>
    <w:basedOn w:val="NoParagraphStyle"/>
    <w:uiPriority w:val="99"/>
    <w:rsid w:val="00044F7C"/>
    <w:pPr>
      <w:suppressAutoHyphens/>
      <w:spacing w:after="227" w:line="220" w:lineRule="atLeast"/>
    </w:pPr>
    <w:rPr>
      <w:rFonts w:cs="HelveticaNeue-Light"/>
      <w:sz w:val="18"/>
      <w:szCs w:val="18"/>
    </w:rPr>
  </w:style>
  <w:style w:type="paragraph" w:customStyle="1" w:styleId="SubHeader2">
    <w:name w:val="Sub Header 2"/>
    <w:basedOn w:val="SubHeader-RED"/>
    <w:uiPriority w:val="99"/>
    <w:rsid w:val="00044F7C"/>
    <w:rPr>
      <w:rFonts w:ascii="HelveticaNeue" w:hAnsi="HelveticaNeue" w:cs="HelveticaNeue"/>
      <w:color w:val="000000"/>
    </w:rPr>
  </w:style>
  <w:style w:type="paragraph" w:styleId="BalloonText">
    <w:name w:val="Balloon Text"/>
    <w:basedOn w:val="Normal"/>
    <w:link w:val="BalloonTextChar"/>
    <w:uiPriority w:val="99"/>
    <w:semiHidden/>
    <w:unhideWhenUsed/>
    <w:rsid w:val="005B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00E"/>
    <w:rPr>
      <w:rFonts w:ascii="Lucida Grande" w:hAnsi="Lucida Grande" w:cs="Lucida Grande"/>
      <w:sz w:val="18"/>
      <w:szCs w:val="18"/>
    </w:rPr>
  </w:style>
  <w:style w:type="paragraph" w:styleId="Header">
    <w:name w:val="header"/>
    <w:basedOn w:val="Normal"/>
    <w:link w:val="HeaderChar"/>
    <w:uiPriority w:val="99"/>
    <w:unhideWhenUsed/>
    <w:rsid w:val="005B100E"/>
    <w:pPr>
      <w:tabs>
        <w:tab w:val="center" w:pos="4320"/>
        <w:tab w:val="right" w:pos="8640"/>
      </w:tabs>
    </w:pPr>
  </w:style>
  <w:style w:type="character" w:customStyle="1" w:styleId="HeaderChar">
    <w:name w:val="Header Char"/>
    <w:basedOn w:val="DefaultParagraphFont"/>
    <w:link w:val="Header"/>
    <w:uiPriority w:val="99"/>
    <w:rsid w:val="005B100E"/>
  </w:style>
  <w:style w:type="paragraph" w:styleId="Footer">
    <w:name w:val="footer"/>
    <w:basedOn w:val="Normal"/>
    <w:link w:val="FooterChar"/>
    <w:uiPriority w:val="99"/>
    <w:unhideWhenUsed/>
    <w:rsid w:val="005B100E"/>
    <w:pPr>
      <w:tabs>
        <w:tab w:val="center" w:pos="4320"/>
        <w:tab w:val="right" w:pos="8640"/>
      </w:tabs>
    </w:pPr>
  </w:style>
  <w:style w:type="character" w:customStyle="1" w:styleId="FooterChar">
    <w:name w:val="Footer Char"/>
    <w:basedOn w:val="DefaultParagraphFont"/>
    <w:link w:val="Footer"/>
    <w:uiPriority w:val="99"/>
    <w:rsid w:val="005B100E"/>
  </w:style>
  <w:style w:type="paragraph" w:customStyle="1" w:styleId="bullettext">
    <w:name w:val="bullet text"/>
    <w:basedOn w:val="NoParagraphStyle"/>
    <w:uiPriority w:val="99"/>
    <w:rsid w:val="005B100E"/>
    <w:pPr>
      <w:suppressAutoHyphens/>
      <w:spacing w:after="113" w:line="220" w:lineRule="atLeast"/>
      <w:ind w:left="170" w:hanging="170"/>
    </w:pPr>
    <w:rPr>
      <w:rFonts w:ascii="HelveticaNeue" w:hAnsi="HelveticaNeue" w:cs="HelveticaNeue"/>
      <w:sz w:val="18"/>
      <w:szCs w:val="18"/>
    </w:rPr>
  </w:style>
  <w:style w:type="character" w:styleId="CommentReference">
    <w:name w:val="annotation reference"/>
    <w:basedOn w:val="DefaultParagraphFont"/>
    <w:uiPriority w:val="99"/>
    <w:semiHidden/>
    <w:unhideWhenUsed/>
    <w:rsid w:val="004D50BD"/>
    <w:rPr>
      <w:sz w:val="16"/>
      <w:szCs w:val="16"/>
    </w:rPr>
  </w:style>
  <w:style w:type="paragraph" w:styleId="CommentText">
    <w:name w:val="annotation text"/>
    <w:basedOn w:val="Normal"/>
    <w:link w:val="CommentTextChar"/>
    <w:uiPriority w:val="99"/>
    <w:semiHidden/>
    <w:unhideWhenUsed/>
    <w:rsid w:val="004D50BD"/>
    <w:rPr>
      <w:sz w:val="20"/>
      <w:szCs w:val="20"/>
    </w:rPr>
  </w:style>
  <w:style w:type="character" w:customStyle="1" w:styleId="CommentTextChar">
    <w:name w:val="Comment Text Char"/>
    <w:basedOn w:val="DefaultParagraphFont"/>
    <w:link w:val="CommentText"/>
    <w:uiPriority w:val="99"/>
    <w:semiHidden/>
    <w:rsid w:val="004D50BD"/>
    <w:rPr>
      <w:sz w:val="20"/>
      <w:szCs w:val="20"/>
    </w:rPr>
  </w:style>
  <w:style w:type="paragraph" w:styleId="CommentSubject">
    <w:name w:val="annotation subject"/>
    <w:basedOn w:val="CommentText"/>
    <w:next w:val="CommentText"/>
    <w:link w:val="CommentSubjectChar"/>
    <w:uiPriority w:val="99"/>
    <w:semiHidden/>
    <w:unhideWhenUsed/>
    <w:rsid w:val="004D50BD"/>
    <w:rPr>
      <w:b/>
      <w:bCs/>
    </w:rPr>
  </w:style>
  <w:style w:type="character" w:customStyle="1" w:styleId="CommentSubjectChar">
    <w:name w:val="Comment Subject Char"/>
    <w:basedOn w:val="CommentTextChar"/>
    <w:link w:val="CommentSubject"/>
    <w:uiPriority w:val="99"/>
    <w:semiHidden/>
    <w:rsid w:val="004D50BD"/>
    <w:rPr>
      <w:b/>
      <w:bCs/>
      <w:sz w:val="20"/>
      <w:szCs w:val="20"/>
    </w:rPr>
  </w:style>
  <w:style w:type="character" w:styleId="Hyperlink">
    <w:name w:val="Hyperlink"/>
    <w:basedOn w:val="DefaultParagraphFont"/>
    <w:uiPriority w:val="99"/>
    <w:unhideWhenUsed/>
    <w:rsid w:val="00994F39"/>
    <w:rPr>
      <w:color w:val="0000FF" w:themeColor="hyperlink"/>
      <w:u w:val="single"/>
    </w:rPr>
  </w:style>
  <w:style w:type="paragraph" w:styleId="ListParagraph">
    <w:name w:val="List Paragraph"/>
    <w:basedOn w:val="Normal"/>
    <w:uiPriority w:val="34"/>
    <w:qFormat/>
    <w:rsid w:val="00466CA8"/>
    <w:pPr>
      <w:ind w:left="720"/>
      <w:contextualSpacing/>
    </w:pPr>
    <w:rPr>
      <w:rFonts w:eastAsiaTheme="minorHAnsi"/>
    </w:rPr>
  </w:style>
  <w:style w:type="paragraph" w:customStyle="1" w:styleId="Default">
    <w:name w:val="Default"/>
    <w:rsid w:val="004934A2"/>
    <w:pPr>
      <w:autoSpaceDE w:val="0"/>
      <w:autoSpaceDN w:val="0"/>
      <w:adjustRightInd w:val="0"/>
    </w:pPr>
    <w:rPr>
      <w:rFonts w:ascii="Maison Neue" w:hAnsi="Maison Neue" w:cs="Maison Neue"/>
      <w:color w:val="000000"/>
      <w:lang w:val="en-AU"/>
    </w:rPr>
  </w:style>
  <w:style w:type="paragraph" w:customStyle="1" w:styleId="Pa0">
    <w:name w:val="Pa0"/>
    <w:basedOn w:val="Default"/>
    <w:next w:val="Default"/>
    <w:uiPriority w:val="99"/>
    <w:rsid w:val="004934A2"/>
    <w:pPr>
      <w:spacing w:line="161" w:lineRule="atLeast"/>
    </w:pPr>
    <w:rPr>
      <w:rFonts w:cstheme="minorBidi"/>
      <w:color w:val="auto"/>
    </w:rPr>
  </w:style>
  <w:style w:type="paragraph" w:customStyle="1" w:styleId="Pa10">
    <w:name w:val="Pa10"/>
    <w:basedOn w:val="Default"/>
    <w:next w:val="Default"/>
    <w:uiPriority w:val="99"/>
    <w:rsid w:val="004934A2"/>
    <w:pPr>
      <w:spacing w:line="221" w:lineRule="atLeast"/>
    </w:pPr>
    <w:rPr>
      <w:rFonts w:cstheme="minorBidi"/>
      <w:color w:val="auto"/>
    </w:rPr>
  </w:style>
  <w:style w:type="paragraph" w:customStyle="1" w:styleId="Pa13">
    <w:name w:val="Pa13"/>
    <w:basedOn w:val="Default"/>
    <w:next w:val="Default"/>
    <w:uiPriority w:val="99"/>
    <w:rsid w:val="004934A2"/>
    <w:pPr>
      <w:spacing w:line="121" w:lineRule="atLeast"/>
    </w:pPr>
    <w:rPr>
      <w:rFonts w:cstheme="minorBidi"/>
      <w:color w:val="auto"/>
    </w:rPr>
  </w:style>
  <w:style w:type="paragraph" w:customStyle="1" w:styleId="Pa14">
    <w:name w:val="Pa14"/>
    <w:basedOn w:val="Default"/>
    <w:next w:val="Default"/>
    <w:uiPriority w:val="99"/>
    <w:rsid w:val="00E1271D"/>
    <w:pPr>
      <w:spacing w:line="121" w:lineRule="atLeast"/>
    </w:pPr>
    <w:rPr>
      <w:rFonts w:cstheme="minorBidi"/>
      <w:color w:val="auto"/>
    </w:rPr>
  </w:style>
  <w:style w:type="table" w:styleId="TableGrid">
    <w:name w:val="Table Grid"/>
    <w:basedOn w:val="TableNormal"/>
    <w:uiPriority w:val="59"/>
    <w:rsid w:val="0009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C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3CA0"/>
    <w:pPr>
      <w:spacing w:line="259" w:lineRule="auto"/>
      <w:outlineLvl w:val="9"/>
    </w:pPr>
  </w:style>
  <w:style w:type="paragraph" w:styleId="TOC2">
    <w:name w:val="toc 2"/>
    <w:basedOn w:val="Normal"/>
    <w:next w:val="Normal"/>
    <w:autoRedefine/>
    <w:uiPriority w:val="39"/>
    <w:unhideWhenUsed/>
    <w:rsid w:val="00383CA0"/>
    <w:pPr>
      <w:spacing w:after="100"/>
      <w:ind w:left="220"/>
    </w:pPr>
    <w:rPr>
      <w:rFonts w:ascii="Arial" w:eastAsia="Helvetica LT" w:hAnsi="Arial" w:cs="Times New Roman"/>
      <w:sz w:val="22"/>
      <w:szCs w:val="20"/>
      <w:lang w:val="en-AU"/>
    </w:rPr>
  </w:style>
  <w:style w:type="character" w:customStyle="1" w:styleId="Heading2Char">
    <w:name w:val="Heading 2 Char"/>
    <w:basedOn w:val="DefaultParagraphFont"/>
    <w:link w:val="Heading2"/>
    <w:rsid w:val="00383CA0"/>
    <w:rPr>
      <w:rFonts w:ascii="Helvetica LT Bold" w:eastAsia="Helvetica LT" w:hAnsi="Helvetica LT Bold" w:cs="Times New Roman"/>
      <w:sz w:val="28"/>
      <w:szCs w:val="28"/>
      <w:lang w:val="en-AU"/>
    </w:rPr>
  </w:style>
  <w:style w:type="paragraph" w:styleId="FootnoteText">
    <w:name w:val="footnote text"/>
    <w:basedOn w:val="Normal"/>
    <w:link w:val="FootnoteTextChar"/>
    <w:uiPriority w:val="99"/>
    <w:semiHidden/>
    <w:unhideWhenUsed/>
    <w:rsid w:val="009B4310"/>
    <w:rPr>
      <w:sz w:val="20"/>
      <w:szCs w:val="20"/>
    </w:rPr>
  </w:style>
  <w:style w:type="character" w:customStyle="1" w:styleId="FootnoteTextChar">
    <w:name w:val="Footnote Text Char"/>
    <w:basedOn w:val="DefaultParagraphFont"/>
    <w:link w:val="FootnoteText"/>
    <w:uiPriority w:val="99"/>
    <w:semiHidden/>
    <w:rsid w:val="009B4310"/>
    <w:rPr>
      <w:sz w:val="20"/>
      <w:szCs w:val="20"/>
    </w:rPr>
  </w:style>
  <w:style w:type="character" w:styleId="FootnoteReference">
    <w:name w:val="footnote reference"/>
    <w:basedOn w:val="DefaultParagraphFont"/>
    <w:uiPriority w:val="99"/>
    <w:semiHidden/>
    <w:unhideWhenUsed/>
    <w:rsid w:val="009B4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96801F058244B8C1CA1F4BC614444" ma:contentTypeVersion="12" ma:contentTypeDescription="Create a new document." ma:contentTypeScope="" ma:versionID="7e5affe51d4669706f77f7133644f519">
  <xsd:schema xmlns:xsd="http://www.w3.org/2001/XMLSchema" xmlns:xs="http://www.w3.org/2001/XMLSchema" xmlns:p="http://schemas.microsoft.com/office/2006/metadata/properties" xmlns:ns2="32f451b3-c869-4cd7-bf7b-a57864b4f1ee" xmlns:ns3="b776577d-5491-4ab9-820a-ca819684d8db" targetNamespace="http://schemas.microsoft.com/office/2006/metadata/properties" ma:root="true" ma:fieldsID="d4ccef4c2dd399d399a49fdcca9ec5b6" ns2:_="" ns3:_="">
    <xsd:import namespace="32f451b3-c869-4cd7-bf7b-a57864b4f1ee"/>
    <xsd:import namespace="b776577d-5491-4ab9-820a-ca819684d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451b3-c869-4cd7-bf7b-a57864b4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6577d-5491-4ab9-820a-ca819684d8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FB185-AEAB-48D8-BD04-36614ADDD0B3}">
  <ds:schemaRefs>
    <ds:schemaRef ds:uri="http://schemas.openxmlformats.org/officeDocument/2006/bibliography"/>
  </ds:schemaRefs>
</ds:datastoreItem>
</file>

<file path=customXml/itemProps2.xml><?xml version="1.0" encoding="utf-8"?>
<ds:datastoreItem xmlns:ds="http://schemas.openxmlformats.org/officeDocument/2006/customXml" ds:itemID="{EE665DD4-9A62-4A24-8FD6-22409BDB1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97BDC-9C1C-49DA-83D0-EDD521F1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451b3-c869-4cd7-bf7b-a57864b4f1ee"/>
    <ds:schemaRef ds:uri="b776577d-5491-4ab9-820a-ca819684d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0BE0A-887C-412C-B297-56269C69FDF4}">
  <ds:schemaRefs>
    <ds:schemaRef ds:uri="http://schemas.microsoft.com/sharepoint/v3/contenttype/forms"/>
  </ds:schemaRefs>
</ds:datastoreItem>
</file>

<file path=docMetadata/LabelInfo.xml><?xml version="1.0" encoding="utf-8"?>
<clbl:labelList xmlns:clbl="http://schemas.microsoft.com/office/2020/mipLabelMetadata">
  <clbl:label id="{a10f136f-c489-4b35-b226-e3176c38a7ab}" enabled="0" method="" siteId="{a10f136f-c489-4b35-b226-e3176c38a7ab}" removed="1"/>
</clbl:labelList>
</file>

<file path=docProps/app.xml><?xml version="1.0" encoding="utf-8"?>
<Properties xmlns="http://schemas.openxmlformats.org/officeDocument/2006/extended-properties" xmlns:vt="http://schemas.openxmlformats.org/officeDocument/2006/docPropsVTypes">
  <Template>Normal</Template>
  <TotalTime>146</TotalTime>
  <Pages>16</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Centuria</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Quinn</dc:creator>
  <cp:keywords/>
  <dc:description/>
  <cp:lastModifiedBy>Greg Summers</cp:lastModifiedBy>
  <cp:revision>28</cp:revision>
  <cp:lastPrinted>2019-09-30T23:49:00Z</cp:lastPrinted>
  <dcterms:created xsi:type="dcterms:W3CDTF">2024-06-19T23:32:00Z</dcterms:created>
  <dcterms:modified xsi:type="dcterms:W3CDTF">2024-06-23T23:58:00Z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0x010100AD196801F058244B8C1CA1F4BC614444</vt:lpwstr>
  </property>
  <property fmtid="{D5CDD505-2E9C-101B-9397-08002B2CF9AE}" pid="3" name="Order">
    <vt:r8>4000</vt:r8>
  </property>
</Properties>
</file>